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II</w:t>
      </w:r>
    </w:p>
    <w:p w:rsidR="00000000" w:rsidDel="00000000" w:rsidP="00000000" w:rsidRDefault="00000000" w:rsidRPr="00000000" w14:paraId="00000002">
      <w:pPr>
        <w:spacing w:after="0" w:line="240" w:lineRule="auto"/>
        <w:jc w:val="center"/>
        <w:rPr>
          <w:b w:val="1"/>
        </w:rPr>
      </w:pPr>
      <w:bookmarkStart w:colFirst="0" w:colLast="0" w:name="_heading=h.gjdgxs" w:id="0"/>
      <w:bookmarkEnd w:id="0"/>
      <w:r w:rsidDel="00000000" w:rsidR="00000000" w:rsidRPr="00000000">
        <w:rPr/>
        <w:drawing>
          <wp:inline distB="0" distT="0" distL="0" distR="0">
            <wp:extent cx="659130" cy="687705"/>
            <wp:effectExtent b="0" l="0" r="0" t="0"/>
            <wp:docPr id="8"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59130" cy="68770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MINISTÉRIO DA DEFESA</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EXÉRCITO BRASILEIRO</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22ª BRIGADA DE INFANTARIA DE SELVA</w:t>
      </w:r>
    </w:p>
    <w:p w:rsidR="00000000" w:rsidDel="00000000" w:rsidP="00000000" w:rsidRDefault="00000000" w:rsidRPr="00000000" w14:paraId="00000006">
      <w:pPr>
        <w:spacing w:after="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7">
      <w:pPr>
        <w:shd w:fill="a6a6a6" w:val="clear"/>
        <w:spacing w:after="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MINUTA DA ATA DE REGISTRO DE PREÇOS Nº </w:t>
      </w:r>
      <w:r w:rsidDel="00000000" w:rsidR="00000000" w:rsidRPr="00000000">
        <w:rPr>
          <w:rFonts w:ascii="Times New Roman" w:cs="Times New Roman" w:eastAsia="Times New Roman" w:hAnsi="Times New Roman"/>
          <w:b w:val="1"/>
          <w:sz w:val="24"/>
          <w:szCs w:val="24"/>
          <w:rtl w:val="0"/>
        </w:rPr>
        <w:t xml:space="preserve">26</w:t>
      </w:r>
      <w:r w:rsidDel="00000000" w:rsidR="00000000" w:rsidRPr="00000000">
        <w:rPr>
          <w:rFonts w:ascii="Times New Roman" w:cs="Times New Roman" w:eastAsia="Times New Roman" w:hAnsi="Times New Roman"/>
          <w:b w:val="1"/>
          <w:color w:val="000000"/>
          <w:sz w:val="24"/>
          <w:szCs w:val="24"/>
          <w:rtl w:val="0"/>
        </w:rPr>
        <w:t xml:space="preserve">/2024</w:t>
      </w:r>
    </w:p>
    <w:p w:rsidR="00000000" w:rsidDel="00000000" w:rsidP="00000000" w:rsidRDefault="00000000" w:rsidRPr="00000000" w14:paraId="00000008">
      <w:pPr>
        <w:spacing w:after="0" w:lineRule="auto"/>
        <w:jc w:val="center"/>
        <w:rPr>
          <w:rFonts w:ascii="Times New Roman" w:cs="Times New Roman" w:eastAsia="Times New Roman" w:hAnsi="Times New Roman"/>
          <w:i w:val="1"/>
          <w:sz w:val="24"/>
          <w:szCs w:val="24"/>
          <w:highlight w:val="magenta"/>
        </w:rPr>
      </w:pPr>
      <w:r w:rsidDel="00000000" w:rsidR="00000000" w:rsidRPr="00000000">
        <w:rPr>
          <w:rtl w:val="0"/>
        </w:rPr>
      </w:r>
    </w:p>
    <w:p w:rsidR="00000000" w:rsidDel="00000000" w:rsidP="00000000" w:rsidRDefault="00000000" w:rsidRPr="00000000" w14:paraId="00000009">
      <w:pPr>
        <w:spacing w:after="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A">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O </w:t>
      </w:r>
      <w:r w:rsidDel="00000000" w:rsidR="00000000" w:rsidRPr="00000000">
        <w:rPr>
          <w:rFonts w:ascii="Times New Roman" w:cs="Times New Roman" w:eastAsia="Times New Roman" w:hAnsi="Times New Roman"/>
          <w:b w:val="1"/>
          <w:sz w:val="24"/>
          <w:szCs w:val="24"/>
          <w:rtl w:val="0"/>
        </w:rPr>
        <w:t xml:space="preserve">Comando da 22ª Brigada de Infantaria de Selva</w:t>
      </w:r>
      <w:r w:rsidDel="00000000" w:rsidR="00000000" w:rsidRPr="00000000">
        <w:rPr>
          <w:rFonts w:ascii="Times New Roman" w:cs="Times New Roman" w:eastAsia="Times New Roman" w:hAnsi="Times New Roman"/>
          <w:sz w:val="24"/>
          <w:szCs w:val="24"/>
          <w:rtl w:val="0"/>
        </w:rPr>
        <w:t xml:space="preserve">, com sede na </w:t>
      </w:r>
      <w:r w:rsidDel="00000000" w:rsidR="00000000" w:rsidRPr="00000000">
        <w:rPr>
          <w:rFonts w:ascii="Times New Roman" w:cs="Times New Roman" w:eastAsia="Times New Roman" w:hAnsi="Times New Roman"/>
          <w:b w:val="1"/>
          <w:sz w:val="24"/>
          <w:szCs w:val="24"/>
          <w:rtl w:val="0"/>
        </w:rPr>
        <w:t xml:space="preserve">Rua Mestre Júlio, SN –Bairro Alvorada,</w:t>
      </w:r>
      <w:r w:rsidDel="00000000" w:rsidR="00000000" w:rsidRPr="00000000">
        <w:rPr>
          <w:rFonts w:ascii="Times New Roman" w:cs="Times New Roman" w:eastAsia="Times New Roman" w:hAnsi="Times New Roman"/>
          <w:sz w:val="24"/>
          <w:szCs w:val="24"/>
          <w:rtl w:val="0"/>
        </w:rPr>
        <w:t xml:space="preserve"> na cidade de </w:t>
      </w:r>
      <w:r w:rsidDel="00000000" w:rsidR="00000000" w:rsidRPr="00000000">
        <w:rPr>
          <w:rFonts w:ascii="Times New Roman" w:cs="Times New Roman" w:eastAsia="Times New Roman" w:hAnsi="Times New Roman"/>
          <w:b w:val="1"/>
          <w:sz w:val="24"/>
          <w:szCs w:val="24"/>
          <w:rtl w:val="0"/>
        </w:rPr>
        <w:t xml:space="preserve">Macapá/AP</w:t>
      </w:r>
      <w:r w:rsidDel="00000000" w:rsidR="00000000" w:rsidRPr="00000000">
        <w:rPr>
          <w:rFonts w:ascii="Times New Roman" w:cs="Times New Roman" w:eastAsia="Times New Roman" w:hAnsi="Times New Roman"/>
          <w:sz w:val="24"/>
          <w:szCs w:val="24"/>
          <w:rtl w:val="0"/>
        </w:rPr>
        <w:t xml:space="preserve">, inscrito no CNPJ/MF sob o </w:t>
      </w:r>
      <w:r w:rsidDel="00000000" w:rsidR="00000000" w:rsidRPr="00000000">
        <w:rPr>
          <w:rFonts w:ascii="Times New Roman" w:cs="Times New Roman" w:eastAsia="Times New Roman" w:hAnsi="Times New Roman"/>
          <w:b w:val="1"/>
          <w:sz w:val="24"/>
          <w:szCs w:val="24"/>
          <w:rtl w:val="0"/>
        </w:rPr>
        <w:t xml:space="preserve">nº 32.255.287/0001-97</w:t>
      </w:r>
      <w:r w:rsidDel="00000000" w:rsidR="00000000" w:rsidRPr="00000000">
        <w:rPr>
          <w:rFonts w:ascii="Times New Roman" w:cs="Times New Roman" w:eastAsia="Times New Roman" w:hAnsi="Times New Roman"/>
          <w:sz w:val="24"/>
          <w:szCs w:val="24"/>
          <w:rtl w:val="0"/>
        </w:rPr>
        <w:t xml:space="preserve">, neste ato representado pelo Sr </w:t>
      </w:r>
      <w:r w:rsidDel="00000000" w:rsidR="00000000" w:rsidRPr="00000000">
        <w:rPr>
          <w:rFonts w:ascii="Times New Roman" w:cs="Times New Roman" w:eastAsia="Times New Roman" w:hAnsi="Times New Roman"/>
          <w:b w:val="1"/>
          <w:color w:val="000000"/>
          <w:sz w:val="24"/>
          <w:szCs w:val="24"/>
          <w:rtl w:val="0"/>
        </w:rPr>
        <w:t xml:space="preserve">ANTÔNIO LUIS DOS SANTOS FILHO</w:t>
      </w:r>
      <w:r w:rsidDel="00000000" w:rsidR="00000000" w:rsidRPr="00000000">
        <w:rPr>
          <w:rFonts w:ascii="Times New Roman" w:cs="Times New Roman" w:eastAsia="Times New Roman" w:hAnsi="Times New Roman"/>
          <w:sz w:val="24"/>
          <w:szCs w:val="24"/>
          <w:rtl w:val="0"/>
        </w:rPr>
        <w:t xml:space="preserve">, Ordenador de Despesas, designado pelo Boletim Interno </w:t>
      </w:r>
      <w:r w:rsidDel="00000000" w:rsidR="00000000" w:rsidRPr="00000000">
        <w:rPr>
          <w:rFonts w:ascii="Times New Roman" w:cs="Times New Roman" w:eastAsia="Times New Roman" w:hAnsi="Times New Roman"/>
          <w:b w:val="1"/>
          <w:sz w:val="24"/>
          <w:szCs w:val="24"/>
          <w:rtl w:val="0"/>
        </w:rPr>
        <w:t xml:space="preserve">nº 29</w:t>
      </w:r>
      <w:r w:rsidDel="00000000" w:rsidR="00000000" w:rsidRPr="00000000">
        <w:rPr>
          <w:rFonts w:ascii="Times New Roman" w:cs="Times New Roman" w:eastAsia="Times New Roman" w:hAnsi="Times New Roman"/>
          <w:sz w:val="24"/>
          <w:szCs w:val="24"/>
          <w:rtl w:val="0"/>
        </w:rPr>
        <w:t xml:space="preserve">, publicada em </w:t>
      </w:r>
      <w:r w:rsidDel="00000000" w:rsidR="00000000" w:rsidRPr="00000000">
        <w:rPr>
          <w:rFonts w:ascii="Times New Roman" w:cs="Times New Roman" w:eastAsia="Times New Roman" w:hAnsi="Times New Roman"/>
          <w:b w:val="1"/>
          <w:sz w:val="24"/>
          <w:szCs w:val="24"/>
          <w:rtl w:val="0"/>
        </w:rPr>
        <w:t xml:space="preserve">09/02/2024, </w:t>
      </w:r>
      <w:r w:rsidDel="00000000" w:rsidR="00000000" w:rsidRPr="00000000">
        <w:rPr>
          <w:rFonts w:ascii="Times New Roman" w:cs="Times New Roman" w:eastAsia="Times New Roman" w:hAnsi="Times New Roman"/>
          <w:sz w:val="24"/>
          <w:szCs w:val="24"/>
          <w:rtl w:val="0"/>
        </w:rPr>
        <w:t xml:space="preserve">portador da matrícula funcional nº </w:t>
      </w:r>
      <w:r w:rsidDel="00000000" w:rsidR="00000000" w:rsidRPr="00000000">
        <w:rPr>
          <w:rFonts w:ascii="Times New Roman" w:cs="Times New Roman" w:eastAsia="Times New Roman" w:hAnsi="Times New Roman"/>
          <w:b w:val="1"/>
          <w:color w:val="000000"/>
          <w:sz w:val="24"/>
          <w:szCs w:val="24"/>
          <w:rtl w:val="0"/>
        </w:rPr>
        <w:t xml:space="preserve">011398174-2</w:t>
      </w:r>
      <w:r w:rsidDel="00000000" w:rsidR="00000000" w:rsidRPr="00000000">
        <w:rPr>
          <w:rFonts w:ascii="Times New Roman" w:cs="Times New Roman" w:eastAsia="Times New Roman" w:hAnsi="Times New Roman"/>
          <w:sz w:val="24"/>
          <w:szCs w:val="24"/>
          <w:rtl w:val="0"/>
        </w:rPr>
        <w:t xml:space="preserve">, considerando o julgamento da licitação na modalidade de pregão, na forma eletrônica, para </w:t>
      </w:r>
      <w:r w:rsidDel="00000000" w:rsidR="00000000" w:rsidRPr="00000000">
        <w:rPr>
          <w:rFonts w:ascii="Times New Roman" w:cs="Times New Roman" w:eastAsia="Times New Roman" w:hAnsi="Times New Roman"/>
          <w:b w:val="1"/>
          <w:sz w:val="24"/>
          <w:szCs w:val="24"/>
          <w:rtl w:val="0"/>
        </w:rPr>
        <w:t xml:space="preserve">REGISTRO DE PREÇOS nº 26/2024</w:t>
      </w:r>
      <w:r w:rsidDel="00000000" w:rsidR="00000000" w:rsidRPr="00000000">
        <w:rPr>
          <w:rFonts w:ascii="Times New Roman" w:cs="Times New Roman" w:eastAsia="Times New Roman" w:hAnsi="Times New Roman"/>
          <w:sz w:val="24"/>
          <w:szCs w:val="24"/>
          <w:rtl w:val="0"/>
        </w:rPr>
        <w:t xml:space="preserve">, publicada no ….. de …../…../2024, processo administrativo n.º </w:t>
      </w:r>
      <w:r w:rsidDel="00000000" w:rsidR="00000000" w:rsidRPr="00000000">
        <w:rPr>
          <w:rFonts w:ascii="Times New Roman" w:cs="Times New Roman" w:eastAsia="Times New Roman" w:hAnsi="Times New Roman"/>
          <w:b w:val="1"/>
          <w:color w:val="000000"/>
          <w:sz w:val="24"/>
          <w:szCs w:val="24"/>
          <w:rtl w:val="0"/>
        </w:rPr>
        <w:t xml:space="preserve">6</w:t>
      </w:r>
      <w:r w:rsidDel="00000000" w:rsidR="00000000" w:rsidRPr="00000000">
        <w:rPr>
          <w:rFonts w:ascii="Times New Roman" w:cs="Times New Roman" w:eastAsia="Times New Roman" w:hAnsi="Times New Roman"/>
          <w:b w:val="1"/>
          <w:sz w:val="24"/>
          <w:szCs w:val="24"/>
          <w:rtl w:val="0"/>
        </w:rPr>
        <w:t xml:space="preserve">5407</w:t>
      </w:r>
      <w:r w:rsidDel="00000000" w:rsidR="00000000" w:rsidRPr="00000000">
        <w:rPr>
          <w:rFonts w:ascii="Times New Roman" w:cs="Times New Roman" w:eastAsia="Times New Roman" w:hAnsi="Times New Roman"/>
          <w:b w:val="1"/>
          <w:color w:val="000000"/>
          <w:sz w:val="24"/>
          <w:szCs w:val="24"/>
          <w:rtl w:val="0"/>
        </w:rPr>
        <w:t xml:space="preserve">.00</w:t>
      </w:r>
      <w:r w:rsidDel="00000000" w:rsidR="00000000" w:rsidRPr="00000000">
        <w:rPr>
          <w:rFonts w:ascii="Times New Roman" w:cs="Times New Roman" w:eastAsia="Times New Roman" w:hAnsi="Times New Roman"/>
          <w:b w:val="1"/>
          <w:sz w:val="24"/>
          <w:szCs w:val="24"/>
          <w:rtl w:val="0"/>
        </w:rPr>
        <w:t xml:space="preserve">6629</w:t>
      </w:r>
      <w:r w:rsidDel="00000000" w:rsidR="00000000" w:rsidRPr="00000000">
        <w:rPr>
          <w:rFonts w:ascii="Times New Roman" w:cs="Times New Roman" w:eastAsia="Times New Roman" w:hAnsi="Times New Roman"/>
          <w:b w:val="1"/>
          <w:color w:val="000000"/>
          <w:sz w:val="24"/>
          <w:szCs w:val="24"/>
          <w:rtl w:val="0"/>
        </w:rPr>
        <w:t xml:space="preserve">/2024-</w:t>
      </w:r>
      <w:r w:rsidDel="00000000" w:rsidR="00000000" w:rsidRPr="00000000">
        <w:rPr>
          <w:rFonts w:ascii="Times New Roman" w:cs="Times New Roman" w:eastAsia="Times New Roman" w:hAnsi="Times New Roman"/>
          <w:b w:val="1"/>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r w:rsidDel="00000000" w:rsidR="00000000" w:rsidRPr="00000000">
        <w:rPr>
          <w:rtl w:val="0"/>
        </w:rPr>
      </w:r>
    </w:p>
    <w:p w:rsidR="00000000" w:rsidDel="00000000" w:rsidP="00000000" w:rsidRDefault="00000000" w:rsidRPr="00000000" w14:paraId="0000000C">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widowControl w:val="0"/>
        <w:numPr>
          <w:ilvl w:val="0"/>
          <w:numId w:val="2"/>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shd w:fill="b3b3b3" w:val="clear"/>
          <w:rtl w:val="0"/>
        </w:rPr>
        <w:t xml:space="preserve">DO OBJETO</w:t>
      </w:r>
      <w:r w:rsidDel="00000000" w:rsidR="00000000" w:rsidRPr="00000000">
        <w:rPr>
          <w:rtl w:val="0"/>
        </w:rPr>
      </w:r>
    </w:p>
    <w:p w:rsidR="00000000" w:rsidDel="00000000" w:rsidP="00000000" w:rsidRDefault="00000000" w:rsidRPr="00000000" w14:paraId="0000000E">
      <w:pPr>
        <w:widowControl w:val="0"/>
        <w:numPr>
          <w:ilvl w:val="1"/>
          <w:numId w:val="2"/>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presente Ata tem por objeto o registro de preços para eventual </w:t>
      </w:r>
      <w:r w:rsidDel="00000000" w:rsidR="00000000" w:rsidRPr="00000000">
        <w:rPr>
          <w:rFonts w:ascii="Times New Roman" w:cs="Times New Roman" w:eastAsia="Times New Roman" w:hAnsi="Times New Roman"/>
          <w:b w:val="1"/>
          <w:color w:val="000000"/>
          <w:sz w:val="24"/>
          <w:szCs w:val="24"/>
          <w:u w:val="single"/>
          <w:rtl w:val="0"/>
        </w:rPr>
        <w:t xml:space="preserve">aquisição de </w:t>
      </w:r>
      <w:r w:rsidDel="00000000" w:rsidR="00000000" w:rsidRPr="00000000">
        <w:rPr>
          <w:rFonts w:ascii="Times New Roman" w:cs="Times New Roman" w:eastAsia="Times New Roman" w:hAnsi="Times New Roman"/>
          <w:b w:val="1"/>
          <w:sz w:val="24"/>
          <w:szCs w:val="24"/>
          <w:u w:val="single"/>
          <w:rtl w:val="0"/>
        </w:rPr>
        <w:t xml:space="preserve">equipamentos e serviços via satélite</w:t>
      </w:r>
      <w:r w:rsidDel="00000000" w:rsidR="00000000" w:rsidRPr="00000000">
        <w:rPr>
          <w:rFonts w:ascii="Times New Roman" w:cs="Times New Roman" w:eastAsia="Times New Roman" w:hAnsi="Times New Roman"/>
          <w:b w:val="1"/>
          <w:color w:val="000000"/>
          <w:sz w:val="24"/>
          <w:szCs w:val="24"/>
          <w:u w:val="single"/>
          <w:rtl w:val="0"/>
        </w:rPr>
        <w:t xml:space="preserve"> para atender as necessidades da 22ª Brigada de Infantaria de Selva e O MDS</w:t>
      </w:r>
      <w:r w:rsidDel="00000000" w:rsidR="00000000" w:rsidRPr="00000000">
        <w:rPr>
          <w:rFonts w:ascii="Times New Roman" w:cs="Times New Roman" w:eastAsia="Times New Roman" w:hAnsi="Times New Roman"/>
          <w:b w:val="1"/>
          <w:sz w:val="24"/>
          <w:szCs w:val="24"/>
          <w:u w:val="single"/>
          <w:rtl w:val="0"/>
        </w:rPr>
        <w:t xml:space="preserve">,</w:t>
      </w:r>
      <w:r w:rsidDel="00000000" w:rsidR="00000000" w:rsidRPr="00000000">
        <w:rPr>
          <w:rFonts w:ascii="Times New Roman" w:cs="Times New Roman" w:eastAsia="Times New Roman" w:hAnsi="Times New Roman"/>
          <w:sz w:val="24"/>
          <w:szCs w:val="24"/>
          <w:rtl w:val="0"/>
        </w:rPr>
        <w:t xml:space="preserve"> especificados nos itens 1 ao 8 do Termo de Referência, Anexo I do Edital de </w:t>
      </w:r>
      <w:r w:rsidDel="00000000" w:rsidR="00000000" w:rsidRPr="00000000">
        <w:rPr>
          <w:rFonts w:ascii="Times New Roman" w:cs="Times New Roman" w:eastAsia="Times New Roman" w:hAnsi="Times New Roman"/>
          <w:b w:val="1"/>
          <w:sz w:val="24"/>
          <w:szCs w:val="24"/>
          <w:rtl w:val="0"/>
        </w:rPr>
        <w:t xml:space="preserve">Pregão nº 26/2024</w:t>
      </w:r>
      <w:r w:rsidDel="00000000" w:rsidR="00000000" w:rsidRPr="00000000">
        <w:rPr>
          <w:rFonts w:ascii="Times New Roman" w:cs="Times New Roman" w:eastAsia="Times New Roman" w:hAnsi="Times New Roman"/>
          <w:sz w:val="24"/>
          <w:szCs w:val="24"/>
          <w:rtl w:val="0"/>
        </w:rPr>
        <w:t xml:space="preserve">, que é parte integrante desta Ata, assim como a proposta vencedora, independentemente de transcrição.</w:t>
      </w:r>
    </w:p>
    <w:p w:rsidR="00000000" w:rsidDel="00000000" w:rsidP="00000000" w:rsidRDefault="00000000" w:rsidRPr="00000000" w14:paraId="0000000F">
      <w:pPr>
        <w:spacing w:after="12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0">
      <w:pPr>
        <w:numPr>
          <w:ilvl w:val="0"/>
          <w:numId w:val="2"/>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shd w:fill="bfbfbf" w:val="clear"/>
          <w:rtl w:val="0"/>
        </w:rPr>
        <w:t xml:space="preserve">DOS PREÇOS, ESPECIFICAÇÕES E QUANTITATIVOS</w:t>
      </w:r>
      <w:r w:rsidDel="00000000" w:rsidR="00000000" w:rsidRPr="00000000">
        <w:rPr>
          <w:rtl w:val="0"/>
        </w:rPr>
      </w:r>
    </w:p>
    <w:p w:rsidR="00000000" w:rsidDel="00000000" w:rsidP="00000000" w:rsidRDefault="00000000" w:rsidRPr="00000000" w14:paraId="00000011">
      <w:pPr>
        <w:numPr>
          <w:ilvl w:val="1"/>
          <w:numId w:val="2"/>
        </w:numPr>
        <w:spacing w:after="120" w:line="240" w:lineRule="auto"/>
        <w:ind w:left="284" w:firstLine="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sz w:val="24"/>
          <w:szCs w:val="24"/>
          <w:rtl w:val="0"/>
        </w:rPr>
        <w:t xml:space="preserve"> O preço registrado, as especificações do objeto, as quantidades mínimas e máximas de cada item, fornecedor(es) e as demais condições ofertadas na(s) proposta(s) são as que seguem:</w:t>
      </w:r>
      <w:r w:rsidDel="00000000" w:rsidR="00000000" w:rsidRPr="00000000">
        <w:rPr>
          <w:rFonts w:ascii="Times New Roman" w:cs="Times New Roman" w:eastAsia="Times New Roman" w:hAnsi="Times New Roman"/>
          <w:b w:val="1"/>
          <w:color w:val="000000"/>
          <w:rtl w:val="0"/>
        </w:rPr>
        <w:t xml:space="preserve"> </w:t>
      </w:r>
    </w:p>
    <w:tbl>
      <w:tblPr>
        <w:tblStyle w:val="Table1"/>
        <w:tblW w:w="9058.999999999998" w:type="dxa"/>
        <w:jc w:val="left"/>
        <w:tblInd w:w="12.000000000000002" w:type="dxa"/>
        <w:tblLayout w:type="fixed"/>
        <w:tblLook w:val="0000"/>
      </w:tblPr>
      <w:tblGrid>
        <w:gridCol w:w="694"/>
        <w:gridCol w:w="989"/>
        <w:gridCol w:w="1400"/>
        <w:gridCol w:w="1541"/>
        <w:gridCol w:w="1124"/>
        <w:gridCol w:w="1118"/>
        <w:gridCol w:w="846"/>
        <w:gridCol w:w="1347"/>
        <w:tblGridChange w:id="0">
          <w:tblGrid>
            <w:gridCol w:w="694"/>
            <w:gridCol w:w="989"/>
            <w:gridCol w:w="1400"/>
            <w:gridCol w:w="1541"/>
            <w:gridCol w:w="1124"/>
            <w:gridCol w:w="1118"/>
            <w:gridCol w:w="846"/>
            <w:gridCol w:w="1347"/>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widowControl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Item do TR</w:t>
            </w:r>
          </w:p>
        </w:tc>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widowControl w:val="0"/>
              <w:spacing w:after="0" w:line="240" w:lineRule="auto"/>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sz w:val="20"/>
                <w:szCs w:val="20"/>
                <w:rtl w:val="0"/>
              </w:rPr>
              <w:t xml:space="preserve">Fornecedor</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i w:val="1"/>
                <w:color w:val="ff0000"/>
                <w:sz w:val="20"/>
                <w:szCs w:val="20"/>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left w:color="000000" w:space="0" w:sz="4" w:val="single"/>
              <w:bottom w:color="000000" w:space="0" w:sz="4" w:val="single"/>
            </w:tcBorders>
            <w:vAlign w:val="center"/>
          </w:tcPr>
          <w:p w:rsidR="00000000" w:rsidDel="00000000" w:rsidP="00000000" w:rsidRDefault="00000000" w:rsidRPr="00000000" w14:paraId="0000001A">
            <w:pPr>
              <w:widowControl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left w:color="000000" w:space="0" w:sz="4" w:val="single"/>
              <w:bottom w:color="000000" w:space="0" w:sz="4" w:val="single"/>
            </w:tcBorders>
            <w:vAlign w:val="center"/>
          </w:tcPr>
          <w:p w:rsidR="00000000" w:rsidDel="00000000" w:rsidP="00000000" w:rsidRDefault="00000000" w:rsidRPr="00000000" w14:paraId="0000001B">
            <w:pPr>
              <w:widowControl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Especificação</w:t>
            </w:r>
          </w:p>
        </w:tc>
        <w:tc>
          <w:tcPr>
            <w:tcBorders>
              <w:left w:color="000000" w:space="0" w:sz="4" w:val="single"/>
              <w:bottom w:color="000000" w:space="0" w:sz="4" w:val="single"/>
            </w:tcBorders>
            <w:vAlign w:val="center"/>
          </w:tcPr>
          <w:p w:rsidR="00000000" w:rsidDel="00000000" w:rsidP="00000000" w:rsidRDefault="00000000" w:rsidRPr="00000000" w14:paraId="0000001C">
            <w:pPr>
              <w:widowControl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Marca</w:t>
            </w:r>
          </w:p>
          <w:p w:rsidR="00000000" w:rsidDel="00000000" w:rsidP="00000000" w:rsidRDefault="00000000" w:rsidRPr="00000000" w14:paraId="0000001D">
            <w:pPr>
              <w:widowControl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(se exigida no edital)</w:t>
            </w:r>
          </w:p>
        </w:tc>
        <w:tc>
          <w:tcPr>
            <w:tcBorders>
              <w:left w:color="000000" w:space="0" w:sz="4" w:val="single"/>
              <w:bottom w:color="000000" w:space="0" w:sz="4" w:val="single"/>
            </w:tcBorders>
            <w:vAlign w:val="center"/>
          </w:tcPr>
          <w:p w:rsidR="00000000" w:rsidDel="00000000" w:rsidP="00000000" w:rsidRDefault="00000000" w:rsidRPr="00000000" w14:paraId="0000001E">
            <w:pPr>
              <w:widowControl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Modelo</w:t>
            </w:r>
          </w:p>
          <w:p w:rsidR="00000000" w:rsidDel="00000000" w:rsidP="00000000" w:rsidRDefault="00000000" w:rsidRPr="00000000" w14:paraId="0000001F">
            <w:pPr>
              <w:widowControl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(se exigido no edital)</w:t>
            </w:r>
          </w:p>
        </w:tc>
        <w:tc>
          <w:tcPr>
            <w:tcBorders>
              <w:left w:color="000000" w:space="0" w:sz="4" w:val="single"/>
              <w:bottom w:color="000000" w:space="0" w:sz="4" w:val="single"/>
            </w:tcBorders>
            <w:vAlign w:val="center"/>
          </w:tcPr>
          <w:p w:rsidR="00000000" w:rsidDel="00000000" w:rsidP="00000000" w:rsidRDefault="00000000" w:rsidRPr="00000000" w14:paraId="00000020">
            <w:pPr>
              <w:widowControl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Unidade</w:t>
            </w:r>
          </w:p>
        </w:tc>
        <w:tc>
          <w:tcPr>
            <w:tcBorders>
              <w:left w:color="000000" w:space="0" w:sz="4" w:val="single"/>
              <w:bottom w:color="000000" w:space="0" w:sz="4" w:val="single"/>
            </w:tcBorders>
            <w:vAlign w:val="center"/>
          </w:tcPr>
          <w:p w:rsidR="00000000" w:rsidDel="00000000" w:rsidP="00000000" w:rsidRDefault="00000000" w:rsidRPr="00000000" w14:paraId="00000021">
            <w:pPr>
              <w:widowControl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Quantidade</w:t>
            </w:r>
          </w:p>
        </w:tc>
        <w:tc>
          <w:tcPr>
            <w:tcBorders>
              <w:left w:color="000000" w:space="0" w:sz="4" w:val="single"/>
              <w:bottom w:color="000000" w:space="0" w:sz="4" w:val="single"/>
            </w:tcBorders>
            <w:vAlign w:val="center"/>
          </w:tcPr>
          <w:p w:rsidR="00000000" w:rsidDel="00000000" w:rsidP="00000000" w:rsidRDefault="00000000" w:rsidRPr="00000000" w14:paraId="00000022">
            <w:pPr>
              <w:widowControl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Valor Un</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widowControl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Prazo garantia ou validade</w:t>
            </w:r>
            <w:r w:rsidDel="00000000" w:rsidR="00000000" w:rsidRPr="00000000">
              <w:rPr>
                <w:rtl w:val="0"/>
              </w:rPr>
            </w:r>
          </w:p>
        </w:tc>
      </w:tr>
      <w:tr>
        <w:trPr>
          <w:cantSplit w:val="0"/>
          <w:trHeight w:val="174" w:hRule="atLeast"/>
          <w:tblHeader w:val="0"/>
        </w:trPr>
        <w:tc>
          <w:tcPr>
            <w:tcBorders>
              <w:left w:color="000000" w:space="0" w:sz="4" w:val="single"/>
              <w:bottom w:color="000000" w:space="0" w:sz="4" w:val="single"/>
            </w:tcBorders>
          </w:tcPr>
          <w:p w:rsidR="00000000" w:rsidDel="00000000" w:rsidP="00000000" w:rsidRDefault="00000000" w:rsidRPr="00000000" w14:paraId="00000024">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5">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6">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7">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8">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9">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A">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2B">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D">
      <w:pPr>
        <w:numPr>
          <w:ilvl w:val="1"/>
          <w:numId w:val="1"/>
        </w:numPr>
        <w:spacing w:after="120" w:line="240" w:lineRule="auto"/>
        <w:ind w:left="28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4"/>
          <w:szCs w:val="24"/>
          <w:rtl w:val="0"/>
        </w:rPr>
        <w:t xml:space="preserve"> A listagem</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do cadastro reserva referente ao presente registro de preços consta como anexo a esta Ata.</w:t>
      </w:r>
      <w:r w:rsidDel="00000000" w:rsidR="00000000" w:rsidRPr="00000000">
        <w:rPr>
          <w:rtl w:val="0"/>
        </w:rPr>
      </w:r>
    </w:p>
    <w:p w:rsidR="00000000" w:rsidDel="00000000" w:rsidP="00000000" w:rsidRDefault="00000000" w:rsidRPr="00000000" w14:paraId="000000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F">
      <w:pPr>
        <w:numPr>
          <w:ilvl w:val="0"/>
          <w:numId w:val="1"/>
        </w:numPr>
        <w:spacing w:after="12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shd w:fill="bfbfbf" w:val="clear"/>
          <w:rtl w:val="0"/>
        </w:rPr>
        <w:t xml:space="preserve">ÓRGÃO(S) GERENCIADOR E  PARTICIPANTE(S):</w:t>
      </w:r>
      <w:r w:rsidDel="00000000" w:rsidR="00000000" w:rsidRPr="00000000">
        <w:rPr>
          <w:rtl w:val="0"/>
        </w:rPr>
      </w:r>
    </w:p>
    <w:p w:rsidR="00000000" w:rsidDel="00000000" w:rsidP="00000000" w:rsidRDefault="00000000" w:rsidRPr="00000000" w14:paraId="00000030">
      <w:pPr>
        <w:numPr>
          <w:ilvl w:val="1"/>
          <w:numId w:val="1"/>
        </w:numPr>
        <w:ind w:lef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 órgão gerenciador será o Comando da 22ª Brigada de Infantaria de Selva.</w:t>
      </w:r>
    </w:p>
    <w:p w:rsidR="00000000" w:rsidDel="00000000" w:rsidP="00000000" w:rsidRDefault="00000000" w:rsidRPr="00000000" w14:paraId="00000031">
      <w:pPr>
        <w:numPr>
          <w:ilvl w:val="1"/>
          <w:numId w:val="1"/>
        </w:numPr>
        <w:spacing w:after="120" w:before="120" w:lineRule="auto"/>
        <w:ind w:left="34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Além do gerenciador não há órgãos e entidades públicas participantes do registro de preços.</w:t>
      </w:r>
    </w:p>
    <w:p w:rsidR="00000000" w:rsidDel="00000000" w:rsidP="00000000" w:rsidRDefault="00000000" w:rsidRPr="00000000" w14:paraId="00000032">
      <w:pPr>
        <w:widowControl w:val="0"/>
        <w:ind w:left="284" w:right="-30" w:firstLine="0"/>
        <w:jc w:val="both"/>
        <w:rPr>
          <w:rFonts w:ascii="Arial" w:cs="Arial" w:eastAsia="Arial" w:hAnsi="Arial"/>
          <w:i w:val="1"/>
          <w:color w:val="ff0000"/>
          <w:sz w:val="20"/>
          <w:szCs w:val="20"/>
        </w:rPr>
      </w:pPr>
      <w:r w:rsidDel="00000000" w:rsidR="00000000" w:rsidRPr="00000000">
        <w:rPr>
          <w:rtl w:val="0"/>
        </w:rPr>
      </w:r>
    </w:p>
    <w:p w:rsidR="00000000" w:rsidDel="00000000" w:rsidP="00000000" w:rsidRDefault="00000000" w:rsidRPr="00000000" w14:paraId="00000033">
      <w:pPr>
        <w:numPr>
          <w:ilvl w:val="0"/>
          <w:numId w:val="1"/>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shd w:fill="bfbfbf" w:val="clear"/>
          <w:rtl w:val="0"/>
        </w:rPr>
        <w:t xml:space="preserve">DA ADESÃO À ATA DE REGISTRO DE PREÇOS</w:t>
      </w:r>
      <w:r w:rsidDel="00000000" w:rsidR="00000000" w:rsidRPr="00000000">
        <w:rPr>
          <w:rtl w:val="0"/>
        </w:rPr>
      </w:r>
    </w:p>
    <w:p w:rsidR="00000000" w:rsidDel="00000000" w:rsidP="00000000" w:rsidRDefault="00000000" w:rsidRPr="00000000" w14:paraId="00000034">
      <w:pPr>
        <w:numPr>
          <w:ilvl w:val="1"/>
          <w:numId w:val="1"/>
        </w:numPr>
        <w:spacing w:after="120" w:line="240" w:lineRule="auto"/>
        <w:ind w:left="284"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000000" w:rsidDel="00000000" w:rsidP="00000000" w:rsidRDefault="00000000" w:rsidRPr="00000000" w14:paraId="00000035">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Apresentação de justificativa da vantagem da adesão, inclusive em situações de provável desabastecimento ou descontinuidade de serviço público;</w:t>
      </w:r>
    </w:p>
    <w:p w:rsidR="00000000" w:rsidDel="00000000" w:rsidP="00000000" w:rsidRDefault="00000000" w:rsidRPr="00000000" w14:paraId="00000036">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Demonstração de que os valores registrados estão compatíveis com os valores praticados pelo mercado na forma do art. 23 da Lei nº 14.133, de 2021; e</w:t>
      </w:r>
    </w:p>
    <w:p w:rsidR="00000000" w:rsidDel="00000000" w:rsidP="00000000" w:rsidRDefault="00000000" w:rsidRPr="00000000" w14:paraId="00000037">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Consulta e aceitação prévias do órgão ou da entidade gerenciadora e do fornecedor.</w:t>
      </w:r>
    </w:p>
    <w:p w:rsidR="00000000" w:rsidDel="00000000" w:rsidP="00000000" w:rsidRDefault="00000000" w:rsidRPr="00000000" w14:paraId="00000038">
      <w:pPr>
        <w:numPr>
          <w:ilvl w:val="1"/>
          <w:numId w:val="1"/>
        </w:numPr>
        <w:spacing w:after="120" w:line="240" w:lineRule="auto"/>
        <w:ind w:left="284"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 autorização do órgão ou entidade gerenciadora apenas será realizada após a aceitação da adesão pelo fornecedor.</w:t>
      </w:r>
    </w:p>
    <w:p w:rsidR="00000000" w:rsidDel="00000000" w:rsidP="00000000" w:rsidRDefault="00000000" w:rsidRPr="00000000" w14:paraId="00000039">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O órgão ou entidade gerenciadora poderá rejeitar adesões caso elas possam acarretar prejuízo à execução de seus próprios contratos ou à sua capacidade de gerenciamento.</w:t>
      </w:r>
    </w:p>
    <w:p w:rsidR="00000000" w:rsidDel="00000000" w:rsidP="00000000" w:rsidRDefault="00000000" w:rsidRPr="00000000" w14:paraId="0000003A">
      <w:pPr>
        <w:numPr>
          <w:ilvl w:val="1"/>
          <w:numId w:val="1"/>
        </w:numPr>
        <w:spacing w:after="120" w:line="240" w:lineRule="auto"/>
        <w:ind w:left="284"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Após a autorização do órgão ou da entidade gerenciadora, o órgão ou entidade não participante deverá efetivar a aquisição ou a contratação solicitada em até noventa dias, observado o prazo de vigência da ata. </w:t>
      </w:r>
    </w:p>
    <w:p w:rsidR="00000000" w:rsidDel="00000000" w:rsidP="00000000" w:rsidRDefault="00000000" w:rsidRPr="00000000" w14:paraId="0000003B">
      <w:pPr>
        <w:numPr>
          <w:ilvl w:val="1"/>
          <w:numId w:val="1"/>
        </w:numPr>
        <w:spacing w:after="120" w:line="240" w:lineRule="auto"/>
        <w:ind w:left="284"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00000" w:rsidDel="00000000" w:rsidP="00000000" w:rsidRDefault="00000000" w:rsidRPr="00000000" w14:paraId="0000003C">
      <w:pPr>
        <w:numPr>
          <w:ilvl w:val="1"/>
          <w:numId w:val="1"/>
        </w:numPr>
        <w:spacing w:after="120" w:line="240" w:lineRule="auto"/>
        <w:ind w:left="284"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O órgão ou a entidade poderá aderir a item da ata de registro de preços da qual seja integrante, na qualidade de não participante, para aqueles itens para os quais não tenha quantitativo registrado, observados os requisitos do item 4.1.</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Dos limites para as adesões</w:t>
      </w:r>
      <w:r w:rsidDel="00000000" w:rsidR="00000000" w:rsidRPr="00000000">
        <w:rPr>
          <w:rtl w:val="0"/>
        </w:rPr>
      </w:r>
    </w:p>
    <w:p w:rsidR="00000000" w:rsidDel="00000000" w:rsidP="00000000" w:rsidRDefault="00000000" w:rsidRPr="00000000" w14:paraId="0000003E">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As aquisições ou contratações adicionais não poderão exceder, por órgão ou entidade, a cinquenta por cento dos quantitativos dos itens do instrumento convocatório registrados na ata de registro de preços para o gerenciador e para os participantes.</w:t>
      </w:r>
    </w:p>
    <w:p w:rsidR="00000000" w:rsidDel="00000000" w:rsidP="00000000" w:rsidRDefault="00000000" w:rsidRPr="00000000" w14:paraId="0000003F">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00000" w:rsidDel="00000000" w:rsidP="00000000" w:rsidRDefault="00000000" w:rsidRPr="00000000" w14:paraId="00000040">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Vedação a acréscimo de </w:t>
      </w:r>
      <w:r w:rsidDel="00000000" w:rsidR="00000000" w:rsidRPr="00000000">
        <w:rPr>
          <w:rFonts w:ascii="Times New Roman" w:cs="Times New Roman" w:eastAsia="Times New Roman" w:hAnsi="Times New Roman"/>
          <w:b w:val="1"/>
          <w:sz w:val="24"/>
          <w:szCs w:val="24"/>
          <w:rtl w:val="0"/>
        </w:rPr>
        <w:t xml:space="preserve">quantitativos</w:t>
      </w:r>
      <w:r w:rsidDel="00000000" w:rsidR="00000000" w:rsidRPr="00000000">
        <w:rPr>
          <w:rtl w:val="0"/>
        </w:rPr>
      </w:r>
    </w:p>
    <w:p w:rsidR="00000000" w:rsidDel="00000000" w:rsidP="00000000" w:rsidRDefault="00000000" w:rsidRPr="00000000" w14:paraId="00000042">
      <w:pPr>
        <w:numPr>
          <w:ilvl w:val="1"/>
          <w:numId w:val="1"/>
        </w:numPr>
        <w:spacing w:after="120" w:line="240" w:lineRule="auto"/>
        <w:ind w:left="28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4"/>
          <w:szCs w:val="24"/>
          <w:rtl w:val="0"/>
        </w:rPr>
        <w:t xml:space="preserve"> É vedado efetuar acréscimos nos quantitativos fixados na ata de registro de preços.</w:t>
      </w:r>
      <w:r w:rsidDel="00000000" w:rsidR="00000000" w:rsidRPr="00000000">
        <w:rPr>
          <w:rtl w:val="0"/>
        </w:rPr>
      </w:r>
    </w:p>
    <w:p w:rsidR="00000000" w:rsidDel="00000000" w:rsidP="00000000" w:rsidRDefault="00000000" w:rsidRPr="00000000" w14:paraId="00000043">
      <w:pPr>
        <w:spacing w:after="120" w:line="24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44">
      <w:pPr>
        <w:numPr>
          <w:ilvl w:val="0"/>
          <w:numId w:val="1"/>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shd w:fill="bfbfbf" w:val="clear"/>
          <w:rtl w:val="0"/>
        </w:rPr>
        <w:t xml:space="preserve">VALIDADE, FORMALIZAÇÃO DA ATA DE REGISTRO DE PREÇOS E CADASTRO RESERVA</w:t>
      </w:r>
      <w:r w:rsidDel="00000000" w:rsidR="00000000" w:rsidRPr="00000000">
        <w:rPr>
          <w:rtl w:val="0"/>
        </w:rPr>
      </w:r>
    </w:p>
    <w:p w:rsidR="00000000" w:rsidDel="00000000" w:rsidP="00000000" w:rsidRDefault="00000000" w:rsidRPr="00000000" w14:paraId="00000045">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validade da Ata de Registro de Preços será de 1 (um) ano, contado a partir do primeiro dia útil subsequente à data de divulgação no PNCP.</w:t>
      </w:r>
    </w:p>
    <w:p w:rsidR="00000000" w:rsidDel="00000000" w:rsidP="00000000" w:rsidRDefault="00000000" w:rsidRPr="00000000" w14:paraId="00000046">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Del="00000000" w:rsidR="00000000" w:rsidRPr="00000000">
        <w:rPr>
          <w:rtl w:val="0"/>
        </w:rPr>
      </w:r>
    </w:p>
    <w:p w:rsidR="00000000" w:rsidDel="00000000" w:rsidP="00000000" w:rsidRDefault="00000000" w:rsidRPr="00000000" w14:paraId="00000047">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Na formalização do contrato ou do instrumento substituto deverá haver a indicação da disponibilidade dos créditos orçamentários respectivos.</w:t>
      </w:r>
      <w:r w:rsidDel="00000000" w:rsidR="00000000" w:rsidRPr="00000000">
        <w:rPr>
          <w:rtl w:val="0"/>
        </w:rPr>
      </w:r>
    </w:p>
    <w:p w:rsidR="00000000" w:rsidDel="00000000" w:rsidP="00000000" w:rsidRDefault="00000000" w:rsidRPr="00000000" w14:paraId="00000048">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r w:rsidDel="00000000" w:rsidR="00000000" w:rsidRPr="00000000">
        <w:rPr>
          <w:rtl w:val="0"/>
        </w:rPr>
      </w:r>
    </w:p>
    <w:p w:rsidR="00000000" w:rsidDel="00000000" w:rsidP="00000000" w:rsidRDefault="00000000" w:rsidRPr="00000000" w14:paraId="00000049">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instrumento contratual de que trata o item </w:t>
      </w:r>
      <w:r w:rsidDel="00000000" w:rsidR="00000000" w:rsidRPr="00000000">
        <w:rPr>
          <w:rtl w:val="0"/>
        </w:rPr>
      </w:r>
    </w:p>
    <w:p w:rsidR="00000000" w:rsidDel="00000000" w:rsidP="00000000" w:rsidRDefault="00000000" w:rsidRPr="00000000" w14:paraId="0000004A">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deverá ser assinado no prazo de validade da ata de registro de preços.</w:t>
      </w:r>
      <w:r w:rsidDel="00000000" w:rsidR="00000000" w:rsidRPr="00000000">
        <w:rPr>
          <w:rtl w:val="0"/>
        </w:rPr>
      </w:r>
    </w:p>
    <w:p w:rsidR="00000000" w:rsidDel="00000000" w:rsidP="00000000" w:rsidRDefault="00000000" w:rsidRPr="00000000" w14:paraId="0000004B">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Os contratos decorrentes do sistema de registro de preços poderão ser alterados, observado o art. 124 da Lei nº 14.133, de 2021.</w:t>
      </w:r>
      <w:r w:rsidDel="00000000" w:rsidR="00000000" w:rsidRPr="00000000">
        <w:rPr>
          <w:rtl w:val="0"/>
        </w:rPr>
      </w:r>
    </w:p>
    <w:p w:rsidR="00000000" w:rsidDel="00000000" w:rsidP="00000000" w:rsidRDefault="00000000" w:rsidRPr="00000000" w14:paraId="0000004C">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Após a homologação da licitação ou da contratação direta, deverão ser observadas as seguintes condições para formalização da ata de registro de preços:</w:t>
      </w:r>
      <w:r w:rsidDel="00000000" w:rsidR="00000000" w:rsidRPr="00000000">
        <w:rPr>
          <w:rtl w:val="0"/>
        </w:rPr>
      </w:r>
    </w:p>
    <w:p w:rsidR="00000000" w:rsidDel="00000000" w:rsidP="00000000" w:rsidRDefault="00000000" w:rsidRPr="00000000" w14:paraId="0000004D">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Serão registrados na ata os preços e os quantitativos do adjudicatário, devendo ser observada a possibilidade de o licitante oferecer ou não proposta em quantitativo inferior ao máximo previsto </w:t>
      </w:r>
      <w:r w:rsidDel="00000000" w:rsidR="00000000" w:rsidRPr="00000000">
        <w:rPr>
          <w:rFonts w:ascii="Times New Roman" w:cs="Times New Roman" w:eastAsia="Times New Roman" w:hAnsi="Times New Roman"/>
          <w:sz w:val="24"/>
          <w:szCs w:val="24"/>
          <w:rtl w:val="0"/>
        </w:rPr>
        <w:t xml:space="preserve">no edital</w:t>
      </w:r>
      <w:r w:rsidDel="00000000" w:rsidR="00000000" w:rsidRPr="00000000">
        <w:rPr>
          <w:rFonts w:ascii="Times New Roman" w:cs="Times New Roman" w:eastAsia="Times New Roman" w:hAnsi="Times New Roman"/>
          <w:i w:val="1"/>
          <w:color w:val="ff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e se obrigar nos limites dela;</w:t>
      </w:r>
      <w:r w:rsidDel="00000000" w:rsidR="00000000" w:rsidRPr="00000000">
        <w:rPr>
          <w:rtl w:val="0"/>
        </w:rPr>
      </w:r>
    </w:p>
    <w:p w:rsidR="00000000" w:rsidDel="00000000" w:rsidP="00000000" w:rsidRDefault="00000000" w:rsidRPr="00000000" w14:paraId="0000004E">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Será incluído na ata, na forma de anexo, o registro dos licitantes ou dos fornecedores que: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Aceitarem cotar os bens, as obras ou os serviços com preços iguais aos do adjudicatário, observada a classificação da licitação; 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Mantiverem sua proposta original.</w:t>
      </w:r>
      <w:r w:rsidDel="00000000" w:rsidR="00000000" w:rsidRPr="00000000">
        <w:rPr>
          <w:rtl w:val="0"/>
        </w:rPr>
      </w:r>
    </w:p>
    <w:bookmarkStart w:colFirst="0" w:colLast="0" w:name="bookmark=id.30j0zll" w:id="1"/>
    <w:bookmarkEnd w:id="1"/>
    <w:p w:rsidR="00000000" w:rsidDel="00000000" w:rsidP="00000000" w:rsidRDefault="00000000" w:rsidRPr="00000000" w14:paraId="00000051">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Será respeitada, nas contratações, a ordem de classificação dos licitantes ou dos fornecedores registrados na ata.</w:t>
      </w:r>
      <w:r w:rsidDel="00000000" w:rsidR="00000000" w:rsidRPr="00000000">
        <w:rPr>
          <w:rtl w:val="0"/>
        </w:rPr>
      </w:r>
    </w:p>
    <w:p w:rsidR="00000000" w:rsidDel="00000000" w:rsidP="00000000" w:rsidRDefault="00000000" w:rsidRPr="00000000" w14:paraId="00000052">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registro a que se refere o item </w:t>
      </w:r>
      <w:r w:rsidDel="00000000" w:rsidR="00000000" w:rsidRPr="00000000">
        <w:rPr>
          <w:rtl w:val="0"/>
        </w:rPr>
      </w:r>
    </w:p>
    <w:p w:rsidR="00000000" w:rsidDel="00000000" w:rsidP="00000000" w:rsidRDefault="00000000" w:rsidRPr="00000000" w14:paraId="00000053">
      <w:p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5.</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.2 </w:t>
      </w:r>
      <w:r w:rsidDel="00000000" w:rsidR="00000000" w:rsidRPr="00000000">
        <w:rPr>
          <w:rFonts w:ascii="Times New Roman" w:cs="Times New Roman" w:eastAsia="Times New Roman" w:hAnsi="Times New Roman"/>
          <w:color w:val="000000"/>
          <w:sz w:val="24"/>
          <w:szCs w:val="24"/>
          <w:rtl w:val="0"/>
        </w:rPr>
        <w:t xml:space="preserve">tem por objetivo a formação de cadastro de reserva para o caso de impossibilidade de atendimento pelo signatário da ata.</w:t>
      </w:r>
      <w:r w:rsidDel="00000000" w:rsidR="00000000" w:rsidRPr="00000000">
        <w:rPr>
          <w:rtl w:val="0"/>
        </w:rPr>
      </w:r>
    </w:p>
    <w:p w:rsidR="00000000" w:rsidDel="00000000" w:rsidP="00000000" w:rsidRDefault="00000000" w:rsidRPr="00000000" w14:paraId="00000054">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Para fins da ordem de classificação, os licitantes ou fornecedores que aceitarem reduzir suas propostas para o preço do adjudicatário antecederão aqueles que mantiverem sua proposta original.</w:t>
      </w:r>
      <w:r w:rsidDel="00000000" w:rsidR="00000000" w:rsidRPr="00000000">
        <w:rPr>
          <w:rtl w:val="0"/>
        </w:rPr>
      </w:r>
    </w:p>
    <w:p w:rsidR="00000000" w:rsidDel="00000000" w:rsidP="00000000" w:rsidRDefault="00000000" w:rsidRPr="00000000" w14:paraId="00000055">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 habilitação dos licitantes que comporão o cadastro de reserva a que se refere o item </w:t>
      </w:r>
      <w:r w:rsidDel="00000000" w:rsidR="00000000" w:rsidRPr="00000000">
        <w:rPr>
          <w:rFonts w:ascii="Times New Roman" w:cs="Times New Roman" w:eastAsia="Times New Roman" w:hAnsi="Times New Roman"/>
          <w:b w:val="1"/>
          <w:color w:val="000000"/>
          <w:sz w:val="24"/>
          <w:szCs w:val="24"/>
          <w:rtl w:val="0"/>
        </w:rPr>
        <w:t xml:space="preserve">5.4.2.2</w:t>
      </w:r>
      <w:r w:rsidDel="00000000" w:rsidR="00000000" w:rsidRPr="00000000">
        <w:rPr>
          <w:rFonts w:ascii="Times New Roman" w:cs="Times New Roman" w:eastAsia="Times New Roman" w:hAnsi="Times New Roman"/>
          <w:color w:val="000000"/>
          <w:sz w:val="24"/>
          <w:szCs w:val="24"/>
          <w:rtl w:val="0"/>
        </w:rPr>
        <w:t xml:space="preserve"> somente será efetuada quando houver necessidade de contratação dos licitantes remanescentes, nas seguintes hipóteses:</w:t>
      </w:r>
      <w:r w:rsidDel="00000000" w:rsidR="00000000" w:rsidRPr="00000000">
        <w:rPr>
          <w:rtl w:val="0"/>
        </w:rPr>
      </w:r>
    </w:p>
    <w:bookmarkStart w:colFirst="0" w:colLast="0" w:name="bookmark=id.1fob9te" w:id="2"/>
    <w:bookmarkEnd w:id="2"/>
    <w:p w:rsidR="00000000" w:rsidDel="00000000" w:rsidP="00000000" w:rsidRDefault="00000000" w:rsidRPr="00000000" w14:paraId="00000056">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Quando o licitante vencedor não assinar a ata de registro de preços, no prazo e nas condições estabelecidos </w:t>
      </w:r>
      <w:r w:rsidDel="00000000" w:rsidR="00000000" w:rsidRPr="00000000">
        <w:rPr>
          <w:rFonts w:ascii="Times New Roman" w:cs="Times New Roman" w:eastAsia="Times New Roman" w:hAnsi="Times New Roman"/>
          <w:sz w:val="24"/>
          <w:szCs w:val="24"/>
          <w:rtl w:val="0"/>
        </w:rPr>
        <w:t xml:space="preserve">no edital;</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e</w:t>
      </w:r>
      <w:r w:rsidDel="00000000" w:rsidR="00000000" w:rsidRPr="00000000">
        <w:rPr>
          <w:rtl w:val="0"/>
        </w:rPr>
      </w:r>
    </w:p>
    <w:p w:rsidR="00000000" w:rsidDel="00000000" w:rsidP="00000000" w:rsidRDefault="00000000" w:rsidRPr="00000000" w14:paraId="00000057">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Quando houver o cancelamento do registro do licitante ou do registro de preços nas hipóteses previstas no item </w:t>
      </w:r>
      <w:r w:rsidDel="00000000" w:rsidR="00000000" w:rsidRPr="00000000">
        <w:rPr>
          <w:rFonts w:ascii="Times New Roman" w:cs="Times New Roman" w:eastAsia="Times New Roman" w:hAnsi="Times New Roman"/>
          <w:b w:val="1"/>
          <w:color w:val="000000"/>
          <w:sz w:val="24"/>
          <w:szCs w:val="24"/>
          <w:rtl w:val="0"/>
        </w:rPr>
        <w:t xml:space="preserve">9</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058">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preço registrado com indicação dos licitantes e fornecedores será divulgado no PNCP e ficará disponibilizado durante a vigência da ata de registro de preços.</w:t>
      </w:r>
      <w:r w:rsidDel="00000000" w:rsidR="00000000" w:rsidRPr="00000000">
        <w:rPr>
          <w:rtl w:val="0"/>
        </w:rPr>
      </w:r>
    </w:p>
    <w:p w:rsidR="00000000" w:rsidDel="00000000" w:rsidP="00000000" w:rsidRDefault="00000000" w:rsidRPr="00000000" w14:paraId="00000059">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Del="00000000" w:rsidR="00000000" w:rsidRPr="00000000">
        <w:rPr>
          <w:rtl w:val="0"/>
        </w:rPr>
      </w:r>
    </w:p>
    <w:bookmarkStart w:colFirst="0" w:colLast="0" w:name="bookmark=id.3znysh7" w:id="3"/>
    <w:bookmarkEnd w:id="3"/>
    <w:p w:rsidR="00000000" w:rsidDel="00000000" w:rsidP="00000000" w:rsidRDefault="00000000" w:rsidRPr="00000000" w14:paraId="0000005A">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prazo de convocação poderá ser prorrogado 1 (uma) vez, por igual período, mediante solicitação do licitante ou fornecedor convocado, desde que apresentada dentro do prazo, devidamente justificada, e que a justificativa seja aceita pela Administração.</w:t>
      </w:r>
      <w:r w:rsidDel="00000000" w:rsidR="00000000" w:rsidRPr="00000000">
        <w:rPr>
          <w:rtl w:val="0"/>
        </w:rPr>
      </w:r>
    </w:p>
    <w:p w:rsidR="00000000" w:rsidDel="00000000" w:rsidP="00000000" w:rsidRDefault="00000000" w:rsidRPr="00000000" w14:paraId="0000005B">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05C">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Quando o convocado não assinar a ata de registro de preços no prazo e nas condições estabelecidos no edital ou no aviso de contratação, e observado o disposto no item </w:t>
      </w:r>
      <w:r w:rsidDel="00000000" w:rsidR="00000000" w:rsidRPr="00000000">
        <w:rPr>
          <w:rFonts w:ascii="Times New Roman" w:cs="Times New Roman" w:eastAsia="Times New Roman" w:hAnsi="Times New Roman"/>
          <w:b w:val="1"/>
          <w:color w:val="000000"/>
          <w:sz w:val="24"/>
          <w:szCs w:val="24"/>
          <w:rtl w:val="0"/>
        </w:rPr>
        <w:t xml:space="preserve">5.7</w:t>
      </w:r>
      <w:r w:rsidDel="00000000" w:rsidR="00000000" w:rsidRPr="00000000">
        <w:rPr>
          <w:rFonts w:ascii="Times New Roman" w:cs="Times New Roman" w:eastAsia="Times New Roman" w:hAnsi="Times New Roman"/>
          <w:color w:val="000000"/>
          <w:sz w:val="24"/>
          <w:szCs w:val="24"/>
          <w:rtl w:val="0"/>
        </w:rPr>
        <w:t xml:space="preserve">, observando o item </w:t>
      </w:r>
      <w:r w:rsidDel="00000000" w:rsidR="00000000" w:rsidRPr="00000000">
        <w:rPr>
          <w:rFonts w:ascii="Times New Roman" w:cs="Times New Roman" w:eastAsia="Times New Roman" w:hAnsi="Times New Roman"/>
          <w:b w:val="1"/>
          <w:color w:val="000000"/>
          <w:sz w:val="24"/>
          <w:szCs w:val="24"/>
          <w:rtl w:val="0"/>
        </w:rPr>
        <w:t xml:space="preserve">5.7</w:t>
      </w:r>
      <w:r w:rsidDel="00000000" w:rsidR="00000000" w:rsidRPr="00000000">
        <w:rPr>
          <w:rFonts w:ascii="Times New Roman" w:cs="Times New Roman" w:eastAsia="Times New Roman" w:hAnsi="Times New Roman"/>
          <w:color w:val="000000"/>
          <w:sz w:val="24"/>
          <w:szCs w:val="24"/>
          <w:rtl w:val="0"/>
        </w:rPr>
        <w:t xml:space="preserve"> e subitens,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05D">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Na hipótese de nenhum dos licitantes que trata o item 5.4.2.1, aceitar a contratação nos termos do item anterior, a Administração, observados o valor estimado e sua eventual atualização nos termos </w:t>
      </w:r>
      <w:r w:rsidDel="00000000" w:rsidR="00000000" w:rsidRPr="00000000">
        <w:rPr>
          <w:rFonts w:ascii="Times New Roman" w:cs="Times New Roman" w:eastAsia="Times New Roman" w:hAnsi="Times New Roman"/>
          <w:sz w:val="24"/>
          <w:szCs w:val="24"/>
          <w:rtl w:val="0"/>
        </w:rPr>
        <w:t xml:space="preserve">do edital</w:t>
      </w:r>
      <w:r w:rsidDel="00000000" w:rsidR="00000000" w:rsidRPr="00000000">
        <w:rPr>
          <w:rFonts w:ascii="Times New Roman" w:cs="Times New Roman" w:eastAsia="Times New Roman" w:hAnsi="Times New Roman"/>
          <w:color w:val="000000"/>
          <w:sz w:val="24"/>
          <w:szCs w:val="24"/>
          <w:rtl w:val="0"/>
        </w:rPr>
        <w:t xml:space="preserve">, poderá:</w:t>
      </w:r>
      <w:r w:rsidDel="00000000" w:rsidR="00000000" w:rsidRPr="00000000">
        <w:rPr>
          <w:rtl w:val="0"/>
        </w:rPr>
      </w:r>
    </w:p>
    <w:p w:rsidR="00000000" w:rsidDel="00000000" w:rsidP="00000000" w:rsidRDefault="00000000" w:rsidRPr="00000000" w14:paraId="0000005E">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05F">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Adjudicar e firmar o contrato nas condições ofertadas pelos licitantes ou fornecedores remanescentes, atendida a ordem classificatória, quando frustrada a negociação de melhor condição.</w:t>
      </w:r>
      <w:r w:rsidDel="00000000" w:rsidR="00000000" w:rsidRPr="00000000">
        <w:rPr>
          <w:rtl w:val="0"/>
        </w:rPr>
      </w:r>
    </w:p>
    <w:p w:rsidR="00000000" w:rsidDel="00000000" w:rsidP="00000000" w:rsidRDefault="00000000" w:rsidRPr="00000000" w14:paraId="00000060">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061">
      <w:pPr>
        <w:spacing w:after="120" w:line="240" w:lineRule="auto"/>
        <w:ind w:left="284" w:firstLine="0"/>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2">
      <w:pPr>
        <w:numPr>
          <w:ilvl w:val="0"/>
          <w:numId w:val="1"/>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shd w:fill="b3b3b3" w:val="clear"/>
          <w:rtl w:val="0"/>
        </w:rPr>
        <w:t xml:space="preserve">ALTERAÇÃO OU ATUALIZAÇÃO DOS PREÇOS REGISTRADOS</w:t>
      </w:r>
      <w:r w:rsidDel="00000000" w:rsidR="00000000" w:rsidRPr="00000000">
        <w:rPr>
          <w:rtl w:val="0"/>
        </w:rPr>
      </w:r>
    </w:p>
    <w:p w:rsidR="00000000" w:rsidDel="00000000" w:rsidP="00000000" w:rsidRDefault="00000000" w:rsidRPr="00000000" w14:paraId="00000063">
      <w:pPr>
        <w:numPr>
          <w:ilvl w:val="1"/>
          <w:numId w:val="1"/>
        </w:numPr>
        <w:spacing w:after="120" w:line="240" w:lineRule="auto"/>
        <w:ind w:left="284" w:firstLine="0"/>
        <w:jc w:val="both"/>
        <w:rPr/>
      </w:pPr>
      <w:r w:rsidDel="00000000" w:rsidR="00000000" w:rsidRPr="00000000">
        <w:rPr>
          <w:rFonts w:ascii="Times New Roman" w:cs="Times New Roman" w:eastAsia="Times New Roman" w:hAnsi="Times New Roman"/>
          <w:sz w:val="24"/>
          <w:szCs w:val="24"/>
          <w:rtl w:val="0"/>
        </w:rPr>
        <w:t xml:space="preserve">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064">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força maior, caso fortuito ou fato do príncipe ou em decorrência de fatos imprevisíveis ou previsíveis de consequências incalculáveis, que </w:t>
      </w:r>
      <w:r w:rsidDel="00000000" w:rsidR="00000000" w:rsidRPr="00000000">
        <w:rPr>
          <w:rFonts w:ascii="Times New Roman" w:cs="Times New Roman" w:eastAsia="Times New Roman" w:hAnsi="Times New Roman"/>
          <w:sz w:val="24"/>
          <w:szCs w:val="24"/>
          <w:rtl w:val="0"/>
        </w:rPr>
        <w:t xml:space="preserve">inviabilizam</w:t>
      </w:r>
      <w:r w:rsidDel="00000000" w:rsidR="00000000" w:rsidRPr="00000000">
        <w:rPr>
          <w:rFonts w:ascii="Times New Roman" w:cs="Times New Roman" w:eastAsia="Times New Roman" w:hAnsi="Times New Roman"/>
          <w:color w:val="000000"/>
          <w:sz w:val="24"/>
          <w:szCs w:val="24"/>
          <w:rtl w:val="0"/>
        </w:rPr>
        <w:t xml:space="preserve"> a execução da ata tal como pactuada, nos termos da alínea “d” do inciso II do caput do art. 124 da Lei nº 14.133, de 2021;</w:t>
      </w:r>
    </w:p>
    <w:p w:rsidR="00000000" w:rsidDel="00000000" w:rsidP="00000000" w:rsidRDefault="00000000" w:rsidRPr="00000000" w14:paraId="00000065">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criação, alteração ou extinção de quaisquer tributos ou encargos legais ou a superveniência de disposições legais, com comprovada repercussão sobre os preços registrados;</w:t>
      </w:r>
    </w:p>
    <w:p w:rsidR="00000000" w:rsidDel="00000000" w:rsidP="00000000" w:rsidRDefault="00000000" w:rsidRPr="00000000" w14:paraId="00000066">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067">
      <w:pPr>
        <w:spacing w:after="120" w:line="240" w:lineRule="auto"/>
        <w:ind w:left="567"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6.1.3.1. </w:t>
      </w:r>
      <w:r w:rsidDel="00000000" w:rsidR="00000000" w:rsidRPr="00000000">
        <w:rPr>
          <w:rFonts w:ascii="Times New Roman" w:cs="Times New Roman" w:eastAsia="Times New Roman" w:hAnsi="Times New Roman"/>
          <w:color w:val="000000"/>
          <w:sz w:val="24"/>
          <w:szCs w:val="24"/>
          <w:rtl w:val="0"/>
        </w:rPr>
        <w:t xml:space="preserve">No caso do reajustamento, deverá ser respeitada a contagem da anualidade e o índice previstos para a contratação;</w:t>
      </w:r>
      <w:r w:rsidDel="00000000" w:rsidR="00000000" w:rsidRPr="00000000">
        <w:rPr>
          <w:rtl w:val="0"/>
        </w:rPr>
      </w:r>
    </w:p>
    <w:p w:rsidR="00000000" w:rsidDel="00000000" w:rsidP="00000000" w:rsidRDefault="00000000" w:rsidRPr="00000000" w14:paraId="00000068">
      <w:pPr>
        <w:spacing w:after="120" w:line="240" w:lineRule="auto"/>
        <w:ind w:left="567" w:firstLine="0"/>
        <w:jc w:val="both"/>
        <w:rPr/>
      </w:pPr>
      <w:r w:rsidDel="00000000" w:rsidR="00000000" w:rsidRPr="00000000">
        <w:rPr>
          <w:rFonts w:ascii="Times New Roman" w:cs="Times New Roman" w:eastAsia="Times New Roman" w:hAnsi="Times New Roman"/>
          <w:b w:val="1"/>
          <w:color w:val="000000"/>
          <w:sz w:val="24"/>
          <w:szCs w:val="24"/>
          <w:rtl w:val="0"/>
        </w:rPr>
        <w:t xml:space="preserve">6.1.3.2. </w:t>
      </w:r>
      <w:r w:rsidDel="00000000" w:rsidR="00000000" w:rsidRPr="00000000">
        <w:rPr>
          <w:rFonts w:ascii="Times New Roman" w:cs="Times New Roman" w:eastAsia="Times New Roman" w:hAnsi="Times New Roman"/>
          <w:color w:val="000000"/>
          <w:sz w:val="24"/>
          <w:szCs w:val="24"/>
          <w:rtl w:val="0"/>
        </w:rPr>
        <w:t xml:space="preserve">No caso da repactuação, poderá ser a pedido do interessado, conforme critérios definidos para a contratação.</w:t>
      </w:r>
      <w:r w:rsidDel="00000000" w:rsidR="00000000" w:rsidRPr="00000000">
        <w:rPr>
          <w:rtl w:val="0"/>
        </w:rPr>
      </w:r>
    </w:p>
    <w:p w:rsidR="00000000" w:rsidDel="00000000" w:rsidP="00000000" w:rsidRDefault="00000000" w:rsidRPr="00000000" w14:paraId="00000069">
      <w:pPr>
        <w:spacing w:after="12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A">
      <w:pPr>
        <w:numPr>
          <w:ilvl w:val="0"/>
          <w:numId w:val="1"/>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shd w:fill="b3b3b3" w:val="clear"/>
          <w:rtl w:val="0"/>
        </w:rPr>
        <w:t xml:space="preserve">NEGOCIAÇÃO DE PREÇOS REGISTRADOS</w:t>
      </w:r>
      <w:r w:rsidDel="00000000" w:rsidR="00000000" w:rsidRPr="00000000">
        <w:rPr>
          <w:rtl w:val="0"/>
        </w:rPr>
      </w:r>
    </w:p>
    <w:p w:rsidR="00000000" w:rsidDel="00000000" w:rsidP="00000000" w:rsidRDefault="00000000" w:rsidRPr="00000000" w14:paraId="0000006B">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Na hipótese de o preço registrado tornar-se superior ao preço praticado no mercado por motivo superveniente, o órgão ou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06C">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6D">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000000" w:rsidDel="00000000" w:rsidP="00000000" w:rsidRDefault="00000000" w:rsidRPr="00000000" w14:paraId="0000006E">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Se não obtiver êxito nas negociações, o órgão ou entidade gerenciadora procederá ao cancelamento da ata de registro de preços, adotando as medidas cabíveis para obtenção de contratação mais vantajosa.</w:t>
      </w:r>
    </w:p>
    <w:bookmarkStart w:colFirst="0" w:colLast="0" w:name="bookmark=id.2et92p0" w:id="4"/>
    <w:bookmarkEnd w:id="4"/>
    <w:p w:rsidR="00000000" w:rsidDel="00000000" w:rsidP="00000000" w:rsidRDefault="00000000" w:rsidRPr="00000000" w14:paraId="0000006F">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70">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bookmarkStart w:colFirst="0" w:colLast="0" w:name="bookmark=id.tyjcwt" w:id="5"/>
    <w:bookmarkEnd w:id="5"/>
    <w:p w:rsidR="00000000" w:rsidDel="00000000" w:rsidP="00000000" w:rsidRDefault="00000000" w:rsidRPr="00000000" w14:paraId="00000071">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Neste caso, o fornecedor encaminhará, juntamente com o pedido de alteração, a documentação comprobatória ou a planilha de custos que demonstre a inviabilidade do preço registrado em relação às condições inicialmente pactuadas.</w:t>
      </w:r>
    </w:p>
    <w:p w:rsidR="00000000" w:rsidDel="00000000" w:rsidP="00000000" w:rsidRDefault="00000000" w:rsidRPr="00000000" w14:paraId="00000072">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sidDel="00000000" w:rsidR="00000000" w:rsidRPr="00000000">
        <w:rPr>
          <w:rFonts w:ascii="Times New Roman" w:cs="Times New Roman" w:eastAsia="Times New Roman" w:hAnsi="Times New Roman"/>
          <w:b w:val="1"/>
          <w:color w:val="000000"/>
          <w:sz w:val="24"/>
          <w:szCs w:val="24"/>
          <w:rtl w:val="0"/>
        </w:rPr>
        <w:t xml:space="preserve">9.1</w:t>
      </w:r>
      <w:r w:rsidDel="00000000" w:rsidR="00000000" w:rsidRPr="00000000">
        <w:rPr>
          <w:rFonts w:ascii="Times New Roman" w:cs="Times New Roman" w:eastAsia="Times New Roman" w:hAnsi="Times New Roman"/>
          <w:color w:val="000000"/>
          <w:sz w:val="24"/>
          <w:szCs w:val="24"/>
          <w:rtl w:val="0"/>
        </w:rPr>
        <w:t xml:space="preserve">, sem prejuízo das sanções previstas na Lei nº 14.133, de 2021, e na legislação aplicável.</w:t>
      </w:r>
    </w:p>
    <w:p w:rsidR="00000000" w:rsidDel="00000000" w:rsidP="00000000" w:rsidRDefault="00000000" w:rsidRPr="00000000" w14:paraId="00000073">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item </w:t>
      </w:r>
      <w:r w:rsidDel="00000000" w:rsidR="00000000" w:rsidRPr="00000000">
        <w:rPr>
          <w:rFonts w:ascii="Times New Roman" w:cs="Times New Roman" w:eastAsia="Times New Roman" w:hAnsi="Times New Roman"/>
          <w:b w:val="1"/>
          <w:color w:val="000000"/>
          <w:sz w:val="24"/>
          <w:szCs w:val="24"/>
          <w:rtl w:val="0"/>
        </w:rPr>
        <w:t xml:space="preserve">5.7</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74">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Se não obtiver êxito nas negociações, o órgão ou entidade gerenciadora procederá ao cancelamento da ata de registro de preços, nos termos do item </w:t>
      </w:r>
      <w:r w:rsidDel="00000000" w:rsidR="00000000" w:rsidRPr="00000000">
        <w:rPr>
          <w:rFonts w:ascii="Times New Roman" w:cs="Times New Roman" w:eastAsia="Times New Roman" w:hAnsi="Times New Roman"/>
          <w:b w:val="1"/>
          <w:color w:val="000000"/>
          <w:sz w:val="24"/>
          <w:szCs w:val="24"/>
          <w:rtl w:val="0"/>
        </w:rPr>
        <w:t xml:space="preserve">9.4</w:t>
      </w:r>
      <w:r w:rsidDel="00000000" w:rsidR="00000000" w:rsidRPr="00000000">
        <w:rPr>
          <w:rFonts w:ascii="Times New Roman" w:cs="Times New Roman" w:eastAsia="Times New Roman" w:hAnsi="Times New Roman"/>
          <w:color w:val="000000"/>
          <w:sz w:val="24"/>
          <w:szCs w:val="24"/>
          <w:rtl w:val="0"/>
        </w:rPr>
        <w:t xml:space="preserve">, e adotará as medidas cabíveis para a obtenção da contratação mais vantajosa.</w:t>
      </w:r>
    </w:p>
    <w:p w:rsidR="00000000" w:rsidDel="00000000" w:rsidP="00000000" w:rsidRDefault="00000000" w:rsidRPr="00000000" w14:paraId="00000075">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Na hipótese de comprovação da majoração do preço de mercado que inviabilize o preço registrado, conforme previsto no item </w:t>
      </w:r>
      <w:r w:rsidDel="00000000" w:rsidR="00000000" w:rsidRPr="00000000">
        <w:rPr>
          <w:rFonts w:ascii="Times New Roman" w:cs="Times New Roman" w:eastAsia="Times New Roman" w:hAnsi="Times New Roman"/>
          <w:b w:val="1"/>
          <w:color w:val="000000"/>
          <w:sz w:val="24"/>
          <w:szCs w:val="24"/>
          <w:rtl w:val="0"/>
        </w:rPr>
        <w:t xml:space="preserve">7.2</w:t>
      </w:r>
      <w:r w:rsidDel="00000000" w:rsidR="00000000" w:rsidRPr="00000000">
        <w:rPr>
          <w:rFonts w:ascii="Times New Roman" w:cs="Times New Roman" w:eastAsia="Times New Roman" w:hAnsi="Times New Roman"/>
          <w:color w:val="000000"/>
          <w:sz w:val="24"/>
          <w:szCs w:val="24"/>
          <w:rtl w:val="0"/>
        </w:rPr>
        <w:t xml:space="preserve"> e no item </w:t>
      </w:r>
      <w:r w:rsidDel="00000000" w:rsidR="00000000" w:rsidRPr="00000000">
        <w:rPr>
          <w:rFonts w:ascii="Times New Roman" w:cs="Times New Roman" w:eastAsia="Times New Roman" w:hAnsi="Times New Roman"/>
          <w:b w:val="1"/>
          <w:color w:val="000000"/>
          <w:sz w:val="24"/>
          <w:szCs w:val="24"/>
          <w:rtl w:val="0"/>
        </w:rPr>
        <w:t xml:space="preserve">7.2.1</w:t>
      </w:r>
      <w:r w:rsidDel="00000000" w:rsidR="00000000" w:rsidRPr="00000000">
        <w:rPr>
          <w:rFonts w:ascii="Times New Roman" w:cs="Times New Roman" w:eastAsia="Times New Roman" w:hAnsi="Times New Roman"/>
          <w:color w:val="000000"/>
          <w:sz w:val="24"/>
          <w:szCs w:val="24"/>
          <w:rtl w:val="0"/>
        </w:rPr>
        <w:t xml:space="preserve">, o órgão ou entidade gerenciadora atualizará o preço registrado, de acordo com a realidade dos valores praticados pelo mercado.</w:t>
      </w:r>
    </w:p>
    <w:p w:rsidR="00000000" w:rsidDel="00000000" w:rsidP="00000000" w:rsidRDefault="00000000" w:rsidRPr="00000000" w14:paraId="00000076">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r w:rsidDel="00000000" w:rsidR="00000000" w:rsidRPr="00000000">
        <w:rPr>
          <w:rtl w:val="0"/>
        </w:rPr>
      </w:r>
    </w:p>
    <w:p w:rsidR="00000000" w:rsidDel="00000000" w:rsidP="00000000" w:rsidRDefault="00000000" w:rsidRPr="00000000" w14:paraId="00000077">
      <w:pPr>
        <w:spacing w:after="12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numPr>
          <w:ilvl w:val="0"/>
          <w:numId w:val="1"/>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shd w:fill="b3b3b3" w:val="clear"/>
          <w:rtl w:val="0"/>
        </w:rPr>
        <w:t xml:space="preserve">REMANEJAMENTO DAS QUANTIDADES REGISTRADAS NA ATA DE REGISTRO DE PREÇOS</w:t>
      </w:r>
      <w:r w:rsidDel="00000000" w:rsidR="00000000" w:rsidRPr="00000000">
        <w:rPr>
          <w:rtl w:val="0"/>
        </w:rPr>
      </w:r>
    </w:p>
    <w:p w:rsidR="00000000" w:rsidDel="00000000" w:rsidP="00000000" w:rsidRDefault="00000000" w:rsidRPr="00000000" w14:paraId="00000079">
      <w:pPr>
        <w:numPr>
          <w:ilvl w:val="1"/>
          <w:numId w:val="1"/>
        </w:numPr>
        <w:spacing w:after="120" w:line="240" w:lineRule="auto"/>
        <w:ind w:left="284"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07A">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 remanejamento somente poderá ser feito:</w:t>
      </w:r>
    </w:p>
    <w:p w:rsidR="00000000" w:rsidDel="00000000" w:rsidP="00000000" w:rsidRDefault="00000000" w:rsidRPr="00000000" w14:paraId="0000007B">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De órgão ou entidade participante para órgão ou entidade participante; ou</w:t>
      </w:r>
    </w:p>
    <w:p w:rsidR="00000000" w:rsidDel="00000000" w:rsidP="00000000" w:rsidRDefault="00000000" w:rsidRPr="00000000" w14:paraId="0000007C">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De órgão ou entidade participante para órgão ou entidade não participante.</w:t>
      </w:r>
    </w:p>
    <w:p w:rsidR="00000000" w:rsidDel="00000000" w:rsidP="00000000" w:rsidRDefault="00000000" w:rsidRPr="00000000" w14:paraId="0000007D">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 órgão ou entidade gerenciadora que tiver estimado as quantidades que pretende contratar será considerado participante para efeito do remanejamento.</w:t>
      </w:r>
    </w:p>
    <w:bookmarkStart w:colFirst="0" w:colLast="0" w:name="bookmark=id.3dy6vkm" w:id="6"/>
    <w:bookmarkEnd w:id="6"/>
    <w:p w:rsidR="00000000" w:rsidDel="00000000" w:rsidP="00000000" w:rsidRDefault="00000000" w:rsidRPr="00000000" w14:paraId="0000007E">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Na hipótese de remanejamento de órgão ou entidade participante para órgão ou entidade não participante, serão observados os limites previstos no art. 32 do Decreto nº 11.462, de 2023.</w:t>
      </w:r>
    </w:p>
    <w:p w:rsidR="00000000" w:rsidDel="00000000" w:rsidP="00000000" w:rsidRDefault="00000000" w:rsidRPr="00000000" w14:paraId="0000007F">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080">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081">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Na hipótese da compra centralizada, não havendo indicação pelo órgão ou pela entidade gerenciadora, dos quantitativos dos participantes da compra centralizada, nos termos do item </w:t>
      </w:r>
      <w:r w:rsidDel="00000000" w:rsidR="00000000" w:rsidRPr="00000000">
        <w:rPr>
          <w:rFonts w:ascii="Times New Roman" w:cs="Times New Roman" w:eastAsia="Times New Roman" w:hAnsi="Times New Roman"/>
          <w:b w:val="1"/>
          <w:sz w:val="24"/>
          <w:szCs w:val="24"/>
          <w:rtl w:val="0"/>
        </w:rPr>
        <w:t xml:space="preserve">8.3</w:t>
      </w:r>
      <w:r w:rsidDel="00000000" w:rsidR="00000000" w:rsidRPr="00000000">
        <w:rPr>
          <w:rFonts w:ascii="Times New Roman" w:cs="Times New Roman" w:eastAsia="Times New Roman" w:hAnsi="Times New Roman"/>
          <w:sz w:val="24"/>
          <w:szCs w:val="24"/>
          <w:rtl w:val="0"/>
        </w:rPr>
        <w:t xml:space="preserve">, a distribuição das quantidades para a execução descentralizada será por meio do remanejamento.</w:t>
      </w:r>
    </w:p>
    <w:p w:rsidR="00000000" w:rsidDel="00000000" w:rsidP="00000000" w:rsidRDefault="00000000" w:rsidRPr="00000000" w14:paraId="00000082">
      <w:pPr>
        <w:spacing w:after="120" w:line="240" w:lineRule="auto"/>
        <w:ind w:left="284"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numPr>
          <w:ilvl w:val="0"/>
          <w:numId w:val="1"/>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hd w:fill="b3b3b3" w:val="clear"/>
          <w:rtl w:val="0"/>
        </w:rPr>
        <w:t xml:space="preserve">CANCELAMENTO DO REGISTRO DO LICITANTE VENCEDOR E DOS PREÇOS REGISTRADOS</w:t>
      </w:r>
      <w:r w:rsidDel="00000000" w:rsidR="00000000" w:rsidRPr="00000000">
        <w:rPr>
          <w:rtl w:val="0"/>
        </w:rPr>
      </w:r>
    </w:p>
    <w:p w:rsidR="00000000" w:rsidDel="00000000" w:rsidP="00000000" w:rsidRDefault="00000000" w:rsidRPr="00000000" w14:paraId="00000084">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registro do fornecedor será cancelado pelo gerenciador, quando o fornecedor:</w:t>
      </w:r>
      <w:r w:rsidDel="00000000" w:rsidR="00000000" w:rsidRPr="00000000">
        <w:rPr>
          <w:rtl w:val="0"/>
        </w:rPr>
      </w:r>
    </w:p>
    <w:bookmarkStart w:colFirst="0" w:colLast="0" w:name="bookmark=id.1t3h5sf" w:id="7"/>
    <w:bookmarkEnd w:id="7"/>
    <w:p w:rsidR="00000000" w:rsidDel="00000000" w:rsidP="00000000" w:rsidRDefault="00000000" w:rsidRPr="00000000" w14:paraId="00000085">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Descumprir as condições da ata de registro de preços, sem motivo justificado;</w:t>
      </w:r>
    </w:p>
    <w:p w:rsidR="00000000" w:rsidDel="00000000" w:rsidP="00000000" w:rsidRDefault="00000000" w:rsidRPr="00000000" w14:paraId="00000086">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Não retirar a nota de empenho, ou instrumento equivalente, no prazo estabelecido pela Administração sem justificativa razoável;</w:t>
      </w:r>
    </w:p>
    <w:p w:rsidR="00000000" w:rsidDel="00000000" w:rsidP="00000000" w:rsidRDefault="00000000" w:rsidRPr="00000000" w14:paraId="00000087">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Não aceitar manter seu preço registrado, na hipótese prevista no artigo 27, § 2º, do Decreto nº 11.462, de 2023; ou</w:t>
      </w:r>
    </w:p>
    <w:p w:rsidR="00000000" w:rsidDel="00000000" w:rsidP="00000000" w:rsidRDefault="00000000" w:rsidRPr="00000000" w14:paraId="00000088">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Sofrer sanção prevista nos incisos III ou IV do caput do art. 156 da Lei nº 14.133, de 2021.</w:t>
      </w:r>
    </w:p>
    <w:p w:rsidR="00000000" w:rsidDel="00000000" w:rsidP="00000000" w:rsidRDefault="00000000" w:rsidRPr="00000000" w14:paraId="0000008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r w:rsidDel="00000000" w:rsidR="00000000" w:rsidRPr="00000000">
        <w:rPr>
          <w:rtl w:val="0"/>
        </w:rPr>
      </w:r>
    </w:p>
    <w:p w:rsidR="00000000" w:rsidDel="00000000" w:rsidP="00000000" w:rsidRDefault="00000000" w:rsidRPr="00000000" w14:paraId="0000008A">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cancelamento de registros nas hipóteses previstas no item </w:t>
      </w:r>
      <w:r w:rsidDel="00000000" w:rsidR="00000000" w:rsidRPr="00000000">
        <w:rPr>
          <w:rFonts w:ascii="Times New Roman" w:cs="Times New Roman" w:eastAsia="Times New Roman" w:hAnsi="Times New Roman"/>
          <w:b w:val="1"/>
          <w:color w:val="000000"/>
          <w:sz w:val="24"/>
          <w:szCs w:val="24"/>
          <w:rtl w:val="0"/>
        </w:rPr>
        <w:t xml:space="preserve">9.1.1</w:t>
      </w:r>
      <w:r w:rsidDel="00000000" w:rsidR="00000000" w:rsidRPr="00000000">
        <w:rPr>
          <w:rFonts w:ascii="Times New Roman" w:cs="Times New Roman" w:eastAsia="Times New Roman" w:hAnsi="Times New Roman"/>
          <w:color w:val="000000"/>
          <w:sz w:val="24"/>
          <w:szCs w:val="24"/>
          <w:rtl w:val="0"/>
        </w:rPr>
        <w:t xml:space="preserve"> será formalizado por despacho do órgão ou da entidade gerenciadora, garantidos os princípios do contraditório e da ampla defesa.</w:t>
      </w:r>
      <w:r w:rsidDel="00000000" w:rsidR="00000000" w:rsidRPr="00000000">
        <w:rPr>
          <w:rtl w:val="0"/>
        </w:rPr>
      </w:r>
    </w:p>
    <w:p w:rsidR="00000000" w:rsidDel="00000000" w:rsidP="00000000" w:rsidRDefault="00000000" w:rsidRPr="00000000" w14:paraId="0000008B">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Na hipótese de cancelamento do registro do fornecedor, o órgão ou a entidade gerenciadora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08C">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cancelamento dos preços registrados poderá ser realizado pelo gerenciador, em determinada ata de registro de preços, total ou parcialmente, nas seguintes hipóteses, desde que devidamente comprovadas e justificadas:</w:t>
      </w:r>
      <w:bookmarkStart w:colFirst="0" w:colLast="0" w:name="bookmark=id.4d34og8" w:id="8"/>
      <w:bookmarkEnd w:id="8"/>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8D">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Por razão de interesse público;</w:t>
      </w:r>
    </w:p>
    <w:p w:rsidR="00000000" w:rsidDel="00000000" w:rsidP="00000000" w:rsidRDefault="00000000" w:rsidRPr="00000000" w14:paraId="0000008E">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 pedido do fornecedor, decorrente de caso fortuito ou força maior; ou</w:t>
      </w:r>
    </w:p>
    <w:p w:rsidR="00000000" w:rsidDel="00000000" w:rsidP="00000000" w:rsidRDefault="00000000" w:rsidRPr="00000000" w14:paraId="0000008F">
      <w:pPr>
        <w:numPr>
          <w:ilvl w:val="2"/>
          <w:numId w:val="1"/>
        </w:num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Se não houver êxito nas negociações, nas hipóteses em que o preço de mercado tornar-se superior ou inferior ao preço registrado, nos termos </w:t>
      </w:r>
      <w:r w:rsidDel="00000000" w:rsidR="00000000" w:rsidRPr="00000000">
        <w:rPr>
          <w:rFonts w:ascii="Times New Roman" w:cs="Times New Roman" w:eastAsia="Times New Roman" w:hAnsi="Times New Roman"/>
          <w:sz w:val="24"/>
          <w:szCs w:val="24"/>
          <w:rtl w:val="0"/>
        </w:rPr>
        <w:t xml:space="preserve">dos artigos</w:t>
      </w:r>
      <w:r w:rsidDel="00000000" w:rsidR="00000000" w:rsidRPr="00000000">
        <w:rPr>
          <w:rFonts w:ascii="Times New Roman" w:cs="Times New Roman" w:eastAsia="Times New Roman" w:hAnsi="Times New Roman"/>
          <w:color w:val="000000"/>
          <w:sz w:val="24"/>
          <w:szCs w:val="24"/>
          <w:rtl w:val="0"/>
        </w:rPr>
        <w:t xml:space="preserve"> 26, § 3º e  27, § 4º, ambos do Decreto nº 11.462, de 2023.</w:t>
      </w:r>
    </w:p>
    <w:p w:rsidR="00000000" w:rsidDel="00000000" w:rsidP="00000000" w:rsidRDefault="00000000" w:rsidRPr="00000000" w14:paraId="00000090">
      <w:pPr>
        <w:spacing w:after="120" w:line="240" w:lineRule="auto"/>
        <w:ind w:left="567" w:firstLine="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1">
      <w:pPr>
        <w:numPr>
          <w:ilvl w:val="0"/>
          <w:numId w:val="1"/>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shd w:fill="b3b3b3" w:val="clear"/>
          <w:rtl w:val="0"/>
        </w:rPr>
        <w:t xml:space="preserve">DAS PENALIDADES</w:t>
      </w:r>
      <w:r w:rsidDel="00000000" w:rsidR="00000000" w:rsidRPr="00000000">
        <w:rPr>
          <w:rtl w:val="0"/>
        </w:rPr>
      </w:r>
    </w:p>
    <w:p w:rsidR="00000000" w:rsidDel="00000000" w:rsidP="00000000" w:rsidRDefault="00000000" w:rsidRPr="00000000" w14:paraId="00000092">
      <w:pPr>
        <w:numPr>
          <w:ilvl w:val="1"/>
          <w:numId w:val="1"/>
        </w:numPr>
        <w:spacing w:after="120" w:line="240" w:lineRule="auto"/>
        <w:ind w:left="284" w:firstLine="0"/>
        <w:jc w:val="both"/>
        <w:rPr/>
      </w:pPr>
      <w:r w:rsidDel="00000000" w:rsidR="00000000" w:rsidRPr="00000000">
        <w:rPr>
          <w:rFonts w:ascii="Times New Roman" w:cs="Times New Roman" w:eastAsia="Times New Roman" w:hAnsi="Times New Roman"/>
          <w:sz w:val="24"/>
          <w:szCs w:val="24"/>
          <w:rtl w:val="0"/>
        </w:rPr>
        <w:t xml:space="preserve"> O descumprimento da Ata de Registro de Preços ensejará aplicação das penalidades estab</w:t>
      </w:r>
      <w:r w:rsidDel="00000000" w:rsidR="00000000" w:rsidRPr="00000000">
        <w:rPr>
          <w:rFonts w:ascii="Times New Roman" w:cs="Times New Roman" w:eastAsia="Times New Roman" w:hAnsi="Times New Roman"/>
          <w:color w:val="000000"/>
          <w:sz w:val="24"/>
          <w:szCs w:val="24"/>
          <w:rtl w:val="0"/>
        </w:rPr>
        <w:t xml:space="preserve">elecidas no edital.</w:t>
      </w:r>
      <w:r w:rsidDel="00000000" w:rsidR="00000000" w:rsidRPr="00000000">
        <w:rPr>
          <w:rtl w:val="0"/>
        </w:rPr>
      </w:r>
    </w:p>
    <w:p w:rsidR="00000000" w:rsidDel="00000000" w:rsidP="00000000" w:rsidRDefault="00000000" w:rsidRPr="00000000" w14:paraId="00000093">
      <w:pPr>
        <w:numPr>
          <w:ilvl w:val="2"/>
          <w:numId w:val="1"/>
        </w:numPr>
        <w:spacing w:after="12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As sanções também se aplicam aos integrantes do cadastro de reserva no registro de preços que, convocados, não honrarem o compromisso assumido injustificadamente após terem assinado a ata. </w:t>
      </w:r>
      <w:r w:rsidDel="00000000" w:rsidR="00000000" w:rsidRPr="00000000">
        <w:rPr>
          <w:rtl w:val="0"/>
        </w:rPr>
      </w:r>
    </w:p>
    <w:p w:rsidR="00000000" w:rsidDel="00000000" w:rsidP="00000000" w:rsidRDefault="00000000" w:rsidRPr="00000000" w14:paraId="00000094">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r w:rsidDel="00000000" w:rsidR="00000000" w:rsidRPr="00000000">
        <w:rPr>
          <w:rtl w:val="0"/>
        </w:rPr>
      </w:r>
    </w:p>
    <w:p w:rsidR="00000000" w:rsidDel="00000000" w:rsidP="00000000" w:rsidRDefault="00000000" w:rsidRPr="00000000" w14:paraId="00000095">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O órgão ou entidade participante deverá comunicar ao órgão gerenciador qualquer das ocorrências previstas no item 9.1, dada a necessidade de instauração de procedimento para cancelamento do registro do fornecedor.</w:t>
      </w:r>
      <w:r w:rsidDel="00000000" w:rsidR="00000000" w:rsidRPr="00000000">
        <w:rPr>
          <w:rtl w:val="0"/>
        </w:rPr>
      </w:r>
    </w:p>
    <w:p w:rsidR="00000000" w:rsidDel="00000000" w:rsidP="00000000" w:rsidRDefault="00000000" w:rsidRPr="00000000" w14:paraId="00000096">
      <w:pPr>
        <w:spacing w:after="120" w:line="240" w:lineRule="auto"/>
        <w:ind w:left="284" w:firstLine="0"/>
        <w:jc w:val="both"/>
        <w:rPr>
          <w:color w:val="000000"/>
        </w:rPr>
      </w:pPr>
      <w:r w:rsidDel="00000000" w:rsidR="00000000" w:rsidRPr="00000000">
        <w:rPr>
          <w:rtl w:val="0"/>
        </w:rPr>
      </w:r>
    </w:p>
    <w:p w:rsidR="00000000" w:rsidDel="00000000" w:rsidP="00000000" w:rsidRDefault="00000000" w:rsidRPr="00000000" w14:paraId="00000097">
      <w:pPr>
        <w:numPr>
          <w:ilvl w:val="0"/>
          <w:numId w:val="1"/>
        </w:numPr>
        <w:spacing w:after="120" w:line="24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hd w:fill="b3b3b3" w:val="clear"/>
          <w:rtl w:val="0"/>
        </w:rPr>
        <w:t xml:space="preserve">CONDIÇÕES GERAIS</w:t>
      </w:r>
      <w:r w:rsidDel="00000000" w:rsidR="00000000" w:rsidRPr="00000000">
        <w:rPr>
          <w:rtl w:val="0"/>
        </w:rPr>
      </w:r>
    </w:p>
    <w:p w:rsidR="00000000" w:rsidDel="00000000" w:rsidP="00000000" w:rsidRDefault="00000000" w:rsidRPr="00000000" w14:paraId="00000098">
      <w:pPr>
        <w:numPr>
          <w:ilvl w:val="1"/>
          <w:numId w:val="1"/>
        </w:numPr>
        <w:spacing w:after="120" w:line="240" w:lineRule="auto"/>
        <w:ind w:left="28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As condições gerais de execução do objeto, tais como os prazos para entrega e recebimento, as obrigações da Administração e do fornecedor registrado, penalidades e demais condições do ajuste, encontram-se definidos no Termo de Referência, ANEXO AO EDITAL.</w:t>
      </w:r>
      <w:r w:rsidDel="00000000" w:rsidR="00000000" w:rsidRPr="00000000">
        <w:rPr>
          <w:rtl w:val="0"/>
        </w:rPr>
      </w:r>
    </w:p>
    <w:p w:rsidR="00000000" w:rsidDel="00000000" w:rsidP="00000000" w:rsidRDefault="00000000" w:rsidRPr="00000000" w14:paraId="00000099">
      <w:pPr>
        <w:spacing w:after="120" w:line="240" w:lineRule="auto"/>
        <w:ind w:left="28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spacing w:after="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firmeza e validade do pactuado, a presente Ata foi lavrada em 02 (duas) vias de igual teor, que, depois de lida e achada em ordem, vai assinada pelas partes e encaminhada cópia aos demais órgãos participantes (se houver).</w:t>
      </w:r>
    </w:p>
    <w:p w:rsidR="00000000" w:rsidDel="00000000" w:rsidP="00000000" w:rsidRDefault="00000000" w:rsidRPr="00000000" w14:paraId="0000009B">
      <w:pPr>
        <w:spacing w:after="12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C">
      <w:pPr>
        <w:spacing w:after="120" w:line="240" w:lineRule="auto"/>
        <w:jc w:val="cente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______________, ____ de ____________ de 2024</w:t>
      </w:r>
      <w:r w:rsidDel="00000000" w:rsidR="00000000" w:rsidRPr="00000000">
        <w:rPr>
          <w:rtl w:val="0"/>
        </w:rPr>
      </w:r>
    </w:p>
    <w:p w:rsidR="00000000" w:rsidDel="00000000" w:rsidP="00000000" w:rsidRDefault="00000000" w:rsidRPr="00000000" w14:paraId="0000009D">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E">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__________________________________________</w:t>
      </w:r>
    </w:p>
    <w:p w:rsidR="00000000" w:rsidDel="00000000" w:rsidP="00000000" w:rsidRDefault="00000000" w:rsidRPr="00000000" w14:paraId="000000A0">
      <w:pPr>
        <w:widowControl w:val="0"/>
        <w:tabs>
          <w:tab w:val="left" w:leader="none" w:pos="1701"/>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ANTONIO LUIS DOS SANTOS FILHO - Cel</w:t>
      </w:r>
    </w:p>
    <w:p w:rsidR="00000000" w:rsidDel="00000000" w:rsidP="00000000" w:rsidRDefault="00000000" w:rsidRPr="00000000" w14:paraId="000000A1">
      <w:pPr>
        <w:widowControl w:val="0"/>
        <w:tabs>
          <w:tab w:val="left" w:leader="none" w:pos="1701"/>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Ordenador de Despesas do Cmdo 22ª Bda Inf Sl</w:t>
      </w:r>
      <w:r w:rsidDel="00000000" w:rsidR="00000000" w:rsidRPr="00000000">
        <w:rPr>
          <w:rtl w:val="0"/>
        </w:rPr>
      </w:r>
    </w:p>
    <w:p w:rsidR="00000000" w:rsidDel="00000000" w:rsidP="00000000" w:rsidRDefault="00000000" w:rsidRPr="00000000" w14:paraId="000000A2">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3">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4">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w:t>
      </w:r>
    </w:p>
    <w:p w:rsidR="00000000" w:rsidDel="00000000" w:rsidP="00000000" w:rsidRDefault="00000000" w:rsidRPr="00000000" w14:paraId="000000A5">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Representante da Empresa</w:t>
      </w:r>
      <w:r w:rsidDel="00000000" w:rsidR="00000000" w:rsidRPr="00000000">
        <w:rPr>
          <w:rtl w:val="0"/>
        </w:rPr>
      </w:r>
    </w:p>
    <w:p w:rsidR="00000000" w:rsidDel="00000000" w:rsidP="00000000" w:rsidRDefault="00000000" w:rsidRPr="00000000" w14:paraId="000000A6">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7">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A">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B">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C">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D">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E">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F">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0">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2">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6">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Cadastro Reserva</w:t>
      </w:r>
    </w:p>
    <w:p w:rsidR="00000000" w:rsidDel="00000000" w:rsidP="00000000" w:rsidRDefault="00000000" w:rsidRPr="00000000" w14:paraId="000000B7">
      <w:pPr>
        <w:widowControl w:val="0"/>
        <w:spacing w:line="24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8">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Seguindo a ordem de classificação, segue relação de fornecedores que aceitaram cotar os itens com preços iguais ao adjudicatário:</w:t>
      </w:r>
    </w:p>
    <w:tbl>
      <w:tblPr>
        <w:tblStyle w:val="Table2"/>
        <w:tblW w:w="9391.999999999998" w:type="dxa"/>
        <w:jc w:val="left"/>
        <w:tblInd w:w="12.000000000000002" w:type="dxa"/>
        <w:tblLayout w:type="fixed"/>
        <w:tblLook w:val="0000"/>
      </w:tblPr>
      <w:tblGrid>
        <w:gridCol w:w="495"/>
        <w:gridCol w:w="1334"/>
        <w:gridCol w:w="1255"/>
        <w:gridCol w:w="1539"/>
        <w:gridCol w:w="1124"/>
        <w:gridCol w:w="1118"/>
        <w:gridCol w:w="844"/>
        <w:gridCol w:w="838"/>
        <w:gridCol w:w="845"/>
        <w:tblGridChange w:id="0">
          <w:tblGrid>
            <w:gridCol w:w="495"/>
            <w:gridCol w:w="1334"/>
            <w:gridCol w:w="1255"/>
            <w:gridCol w:w="1539"/>
            <w:gridCol w:w="1124"/>
            <w:gridCol w:w="1118"/>
            <w:gridCol w:w="844"/>
            <w:gridCol w:w="838"/>
            <w:gridCol w:w="84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Item</w:t>
            </w:r>
          </w:p>
          <w:p w:rsidR="00000000" w:rsidDel="00000000" w:rsidP="00000000" w:rsidRDefault="00000000" w:rsidRPr="00000000" w14:paraId="000000BA">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w:t>
            </w:r>
          </w:p>
          <w:p w:rsidR="00000000" w:rsidDel="00000000" w:rsidP="00000000" w:rsidRDefault="00000000" w:rsidRPr="00000000" w14:paraId="000000BB">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widowControl w:val="0"/>
              <w:spacing w:line="360" w:lineRule="auto"/>
              <w:ind w:right="-30"/>
              <w:jc w:val="center"/>
              <w:rPr>
                <w:rFonts w:ascii="Arial" w:cs="Arial" w:eastAsia="Arial" w:hAnsi="Arial"/>
                <w:i w:val="1"/>
                <w:color w:val="ff0000"/>
                <w:sz w:val="20"/>
                <w:szCs w:val="20"/>
              </w:rPr>
            </w:pPr>
            <w:r w:rsidDel="00000000" w:rsidR="00000000" w:rsidRPr="00000000">
              <w:rPr>
                <w:rFonts w:ascii="Arial" w:cs="Arial" w:eastAsia="Arial" w:hAnsi="Arial"/>
                <w:sz w:val="20"/>
                <w:szCs w:val="20"/>
                <w:rtl w:val="0"/>
              </w:rPr>
              <w:t xml:space="preserve">Fornecedor </w:t>
            </w:r>
            <w:r w:rsidDel="00000000" w:rsidR="00000000" w:rsidRPr="00000000">
              <w:rPr>
                <w:rFonts w:ascii="Arial" w:cs="Arial" w:eastAsia="Arial" w:hAnsi="Arial"/>
                <w:i w:val="1"/>
                <w:color w:val="ff0000"/>
                <w:sz w:val="20"/>
                <w:szCs w:val="20"/>
                <w:rtl w:val="0"/>
              </w:rPr>
              <w:t xml:space="preserve">(razão social, CNPJ/MF, endereço, contatos, representante)</w:t>
            </w:r>
          </w:p>
          <w:p w:rsidR="00000000" w:rsidDel="00000000" w:rsidP="00000000" w:rsidRDefault="00000000" w:rsidRPr="00000000" w14:paraId="000000BD">
            <w:pPr>
              <w:widowControl w:val="0"/>
              <w:spacing w:line="360" w:lineRule="auto"/>
              <w:ind w:right="-30"/>
              <w:jc w:val="center"/>
              <w:rPr>
                <w:rFonts w:ascii="Arial" w:cs="Arial" w:eastAsia="Arial" w:hAnsi="Arial"/>
                <w:sz w:val="20"/>
                <w:szCs w:val="20"/>
              </w:rPr>
            </w:pPr>
            <w:r w:rsidDel="00000000" w:rsidR="00000000" w:rsidRPr="00000000">
              <w:rPr>
                <w:rtl w:val="0"/>
              </w:rPr>
            </w:r>
          </w:p>
        </w:tc>
      </w:tr>
      <w:tr>
        <w:trPr>
          <w:cantSplit w:val="0"/>
          <w:trHeight w:val="674" w:hRule="atLeast"/>
          <w:tblHeader w:val="0"/>
        </w:trPr>
        <w:tc>
          <w:tcPr>
            <w:tcBorders>
              <w:left w:color="000000" w:space="0" w:sz="4" w:val="single"/>
              <w:bottom w:color="000000" w:space="0" w:sz="4" w:val="single"/>
            </w:tcBorders>
            <w:vAlign w:val="center"/>
          </w:tcPr>
          <w:p w:rsidR="00000000" w:rsidDel="00000000" w:rsidP="00000000" w:rsidRDefault="00000000" w:rsidRPr="00000000" w14:paraId="000000C5">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left w:color="000000" w:space="0" w:sz="4" w:val="single"/>
              <w:bottom w:color="000000" w:space="0" w:sz="4" w:val="single"/>
            </w:tcBorders>
          </w:tcPr>
          <w:p w:rsidR="00000000" w:rsidDel="00000000" w:rsidP="00000000" w:rsidRDefault="00000000" w:rsidRPr="00000000" w14:paraId="000000C6">
            <w:pPr>
              <w:widowControl w:val="0"/>
              <w:spacing w:line="360" w:lineRule="auto"/>
              <w:ind w:right="-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Especificação</w:t>
            </w:r>
          </w:p>
        </w:tc>
        <w:tc>
          <w:tcPr>
            <w:tcBorders>
              <w:left w:color="000000" w:space="0" w:sz="4" w:val="single"/>
              <w:bottom w:color="000000" w:space="0" w:sz="4" w:val="single"/>
            </w:tcBorders>
          </w:tcPr>
          <w:p w:rsidR="00000000" w:rsidDel="00000000" w:rsidP="00000000" w:rsidRDefault="00000000" w:rsidRPr="00000000" w14:paraId="000000C7">
            <w:pPr>
              <w:widowControl w:val="0"/>
              <w:spacing w:line="360" w:lineRule="auto"/>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Marca</w:t>
            </w:r>
          </w:p>
          <w:p w:rsidR="00000000" w:rsidDel="00000000" w:rsidP="00000000" w:rsidRDefault="00000000" w:rsidRPr="00000000" w14:paraId="000000C8">
            <w:pPr>
              <w:widowControl w:val="0"/>
              <w:spacing w:line="360" w:lineRule="auto"/>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(se exigida no edital)</w:t>
            </w:r>
          </w:p>
        </w:tc>
        <w:tc>
          <w:tcPr>
            <w:tcBorders>
              <w:left w:color="000000" w:space="0" w:sz="4" w:val="single"/>
              <w:bottom w:color="000000" w:space="0" w:sz="4" w:val="single"/>
            </w:tcBorders>
          </w:tcPr>
          <w:p w:rsidR="00000000" w:rsidDel="00000000" w:rsidP="00000000" w:rsidRDefault="00000000" w:rsidRPr="00000000" w14:paraId="000000C9">
            <w:pPr>
              <w:widowControl w:val="0"/>
              <w:spacing w:line="360" w:lineRule="auto"/>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Modelo</w:t>
            </w:r>
          </w:p>
          <w:p w:rsidR="00000000" w:rsidDel="00000000" w:rsidP="00000000" w:rsidRDefault="00000000" w:rsidRPr="00000000" w14:paraId="000000CA">
            <w:pPr>
              <w:widowControl w:val="0"/>
              <w:spacing w:line="360" w:lineRule="auto"/>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(se exigido no edital)</w:t>
            </w:r>
          </w:p>
        </w:tc>
        <w:tc>
          <w:tcPr>
            <w:tcBorders>
              <w:left w:color="000000" w:space="0" w:sz="4" w:val="single"/>
              <w:bottom w:color="000000" w:space="0" w:sz="4" w:val="single"/>
            </w:tcBorders>
          </w:tcPr>
          <w:p w:rsidR="00000000" w:rsidDel="00000000" w:rsidP="00000000" w:rsidRDefault="00000000" w:rsidRPr="00000000" w14:paraId="000000CB">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Unidade</w:t>
            </w:r>
          </w:p>
        </w:tc>
        <w:tc>
          <w:tcPr>
            <w:tcBorders>
              <w:left w:color="000000" w:space="0" w:sz="4" w:val="single"/>
              <w:bottom w:color="000000" w:space="0" w:sz="4" w:val="single"/>
            </w:tcBorders>
          </w:tcPr>
          <w:p w:rsidR="00000000" w:rsidDel="00000000" w:rsidP="00000000" w:rsidRDefault="00000000" w:rsidRPr="00000000" w14:paraId="000000CC">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QuantidadeMáxima</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CD">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Quantidade Mínima</w:t>
            </w:r>
          </w:p>
        </w:tc>
        <w:tc>
          <w:tcPr>
            <w:tcBorders>
              <w:left w:color="000000" w:space="0" w:sz="4" w:val="single"/>
              <w:bottom w:color="000000" w:space="0" w:sz="4" w:val="single"/>
            </w:tcBorders>
          </w:tcPr>
          <w:p w:rsidR="00000000" w:rsidDel="00000000" w:rsidP="00000000" w:rsidRDefault="00000000" w:rsidRPr="00000000" w14:paraId="000000CE">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Valor Un</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CF">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Prazo garantia ou validade</w:t>
            </w:r>
            <w:r w:rsidDel="00000000" w:rsidR="00000000" w:rsidRPr="00000000">
              <w:rPr>
                <w:rtl w:val="0"/>
              </w:rPr>
            </w:r>
          </w:p>
        </w:tc>
      </w:tr>
      <w:tr>
        <w:trPr>
          <w:cantSplit w:val="0"/>
          <w:trHeight w:val="174" w:hRule="atLeast"/>
          <w:tblHeader w:val="0"/>
        </w:trPr>
        <w:tc>
          <w:tcPr>
            <w:tcBorders>
              <w:left w:color="000000" w:space="0" w:sz="4" w:val="single"/>
              <w:bottom w:color="000000" w:space="0" w:sz="4" w:val="single"/>
            </w:tcBorders>
          </w:tcPr>
          <w:p w:rsidR="00000000" w:rsidDel="00000000" w:rsidP="00000000" w:rsidRDefault="00000000" w:rsidRPr="00000000" w14:paraId="000000D0">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D1">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D2">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D3">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D4">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D5">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D6">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D7">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D8">
            <w:pPr>
              <w:widowControl w:val="0"/>
              <w:spacing w:line="360" w:lineRule="auto"/>
              <w:ind w:right="-30"/>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Seguindo a ordem de classificação, segue relação de fornecedores que mantiveram sua proposta original:</w:t>
      </w:r>
    </w:p>
    <w:tbl>
      <w:tblPr>
        <w:tblStyle w:val="Table3"/>
        <w:tblW w:w="9391.999999999998" w:type="dxa"/>
        <w:jc w:val="left"/>
        <w:tblInd w:w="12.000000000000002" w:type="dxa"/>
        <w:tblLayout w:type="fixed"/>
        <w:tblLook w:val="0000"/>
      </w:tblPr>
      <w:tblGrid>
        <w:gridCol w:w="696"/>
        <w:gridCol w:w="1133"/>
        <w:gridCol w:w="1255"/>
        <w:gridCol w:w="1539"/>
        <w:gridCol w:w="1124"/>
        <w:gridCol w:w="1118"/>
        <w:gridCol w:w="844"/>
        <w:gridCol w:w="838"/>
        <w:gridCol w:w="845"/>
        <w:tblGridChange w:id="0">
          <w:tblGrid>
            <w:gridCol w:w="696"/>
            <w:gridCol w:w="1133"/>
            <w:gridCol w:w="1255"/>
            <w:gridCol w:w="1539"/>
            <w:gridCol w:w="1124"/>
            <w:gridCol w:w="1118"/>
            <w:gridCol w:w="844"/>
            <w:gridCol w:w="838"/>
            <w:gridCol w:w="84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Item</w:t>
            </w:r>
          </w:p>
          <w:p w:rsidR="00000000" w:rsidDel="00000000" w:rsidP="00000000" w:rsidRDefault="00000000" w:rsidRPr="00000000" w14:paraId="000000DC">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do</w:t>
            </w:r>
          </w:p>
          <w:p w:rsidR="00000000" w:rsidDel="00000000" w:rsidP="00000000" w:rsidRDefault="00000000" w:rsidRPr="00000000" w14:paraId="000000DD">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widowControl w:val="0"/>
              <w:spacing w:line="360" w:lineRule="auto"/>
              <w:ind w:right="-30"/>
              <w:jc w:val="center"/>
              <w:rPr>
                <w:rFonts w:ascii="Arial" w:cs="Arial" w:eastAsia="Arial" w:hAnsi="Arial"/>
                <w:i w:val="1"/>
                <w:color w:val="ff0000"/>
                <w:sz w:val="20"/>
                <w:szCs w:val="20"/>
              </w:rPr>
            </w:pPr>
            <w:r w:rsidDel="00000000" w:rsidR="00000000" w:rsidRPr="00000000">
              <w:rPr>
                <w:rFonts w:ascii="Arial" w:cs="Arial" w:eastAsia="Arial" w:hAnsi="Arial"/>
                <w:sz w:val="20"/>
                <w:szCs w:val="20"/>
                <w:rtl w:val="0"/>
              </w:rPr>
              <w:t xml:space="preserve">Fornecedor </w:t>
            </w:r>
            <w:r w:rsidDel="00000000" w:rsidR="00000000" w:rsidRPr="00000000">
              <w:rPr>
                <w:rFonts w:ascii="Arial" w:cs="Arial" w:eastAsia="Arial" w:hAnsi="Arial"/>
                <w:i w:val="1"/>
                <w:color w:val="ff0000"/>
                <w:sz w:val="20"/>
                <w:szCs w:val="20"/>
                <w:rtl w:val="0"/>
              </w:rPr>
              <w:t xml:space="preserve">(razão social, CNPJ/MF, endereço, contatos, representante)</w:t>
            </w:r>
          </w:p>
          <w:p w:rsidR="00000000" w:rsidDel="00000000" w:rsidP="00000000" w:rsidRDefault="00000000" w:rsidRPr="00000000" w14:paraId="000000DF">
            <w:pPr>
              <w:widowControl w:val="0"/>
              <w:spacing w:line="360" w:lineRule="auto"/>
              <w:ind w:right="-30"/>
              <w:jc w:val="center"/>
              <w:rPr>
                <w:rFonts w:ascii="Arial" w:cs="Arial" w:eastAsia="Arial" w:hAnsi="Arial"/>
                <w:sz w:val="20"/>
                <w:szCs w:val="20"/>
              </w:rPr>
            </w:pPr>
            <w:r w:rsidDel="00000000" w:rsidR="00000000" w:rsidRPr="00000000">
              <w:rPr>
                <w:rtl w:val="0"/>
              </w:rPr>
            </w:r>
          </w:p>
        </w:tc>
      </w:tr>
      <w:tr>
        <w:trPr>
          <w:cantSplit w:val="0"/>
          <w:trHeight w:val="674" w:hRule="atLeast"/>
          <w:tblHeader w:val="0"/>
        </w:trPr>
        <w:tc>
          <w:tcPr>
            <w:tcBorders>
              <w:left w:color="000000" w:space="0" w:sz="4" w:val="single"/>
              <w:bottom w:color="000000" w:space="0" w:sz="4" w:val="single"/>
            </w:tcBorders>
            <w:vAlign w:val="center"/>
          </w:tcPr>
          <w:p w:rsidR="00000000" w:rsidDel="00000000" w:rsidP="00000000" w:rsidRDefault="00000000" w:rsidRPr="00000000" w14:paraId="000000E7">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left w:color="000000" w:space="0" w:sz="4" w:val="single"/>
              <w:bottom w:color="000000" w:space="0" w:sz="4" w:val="single"/>
            </w:tcBorders>
          </w:tcPr>
          <w:p w:rsidR="00000000" w:rsidDel="00000000" w:rsidP="00000000" w:rsidRDefault="00000000" w:rsidRPr="00000000" w14:paraId="000000E8">
            <w:pPr>
              <w:widowControl w:val="0"/>
              <w:spacing w:line="360" w:lineRule="auto"/>
              <w:ind w:right="-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Especificação</w:t>
            </w:r>
          </w:p>
        </w:tc>
        <w:tc>
          <w:tcPr>
            <w:tcBorders>
              <w:left w:color="000000" w:space="0" w:sz="4" w:val="single"/>
              <w:bottom w:color="000000" w:space="0" w:sz="4" w:val="single"/>
            </w:tcBorders>
          </w:tcPr>
          <w:p w:rsidR="00000000" w:rsidDel="00000000" w:rsidP="00000000" w:rsidRDefault="00000000" w:rsidRPr="00000000" w14:paraId="000000E9">
            <w:pPr>
              <w:widowControl w:val="0"/>
              <w:spacing w:line="360" w:lineRule="auto"/>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Marca</w:t>
            </w:r>
          </w:p>
          <w:p w:rsidR="00000000" w:rsidDel="00000000" w:rsidP="00000000" w:rsidRDefault="00000000" w:rsidRPr="00000000" w14:paraId="000000EA">
            <w:pPr>
              <w:widowControl w:val="0"/>
              <w:spacing w:line="360" w:lineRule="auto"/>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(se exigida no edital)</w:t>
            </w:r>
          </w:p>
        </w:tc>
        <w:tc>
          <w:tcPr>
            <w:tcBorders>
              <w:left w:color="000000" w:space="0" w:sz="4" w:val="single"/>
              <w:bottom w:color="000000" w:space="0" w:sz="4" w:val="single"/>
            </w:tcBorders>
          </w:tcPr>
          <w:p w:rsidR="00000000" w:rsidDel="00000000" w:rsidP="00000000" w:rsidRDefault="00000000" w:rsidRPr="00000000" w14:paraId="000000EB">
            <w:pPr>
              <w:widowControl w:val="0"/>
              <w:spacing w:line="360" w:lineRule="auto"/>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Modelo</w:t>
            </w:r>
          </w:p>
          <w:p w:rsidR="00000000" w:rsidDel="00000000" w:rsidP="00000000" w:rsidRDefault="00000000" w:rsidRPr="00000000" w14:paraId="000000EC">
            <w:pPr>
              <w:widowControl w:val="0"/>
              <w:spacing w:line="360" w:lineRule="auto"/>
              <w:ind w:right="-3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(se exigido no edital)</w:t>
            </w:r>
          </w:p>
        </w:tc>
        <w:tc>
          <w:tcPr>
            <w:tcBorders>
              <w:left w:color="000000" w:space="0" w:sz="4" w:val="single"/>
              <w:bottom w:color="000000" w:space="0" w:sz="4" w:val="single"/>
            </w:tcBorders>
          </w:tcPr>
          <w:p w:rsidR="00000000" w:rsidDel="00000000" w:rsidP="00000000" w:rsidRDefault="00000000" w:rsidRPr="00000000" w14:paraId="000000ED">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Unidade</w:t>
            </w:r>
          </w:p>
        </w:tc>
        <w:tc>
          <w:tcPr>
            <w:tcBorders>
              <w:left w:color="000000" w:space="0" w:sz="4" w:val="single"/>
              <w:bottom w:color="000000" w:space="0" w:sz="4" w:val="single"/>
            </w:tcBorders>
          </w:tcPr>
          <w:p w:rsidR="00000000" w:rsidDel="00000000" w:rsidP="00000000" w:rsidRDefault="00000000" w:rsidRPr="00000000" w14:paraId="000000EE">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QuantidadeMáxima</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EF">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Quantidade Mínima</w:t>
            </w:r>
          </w:p>
        </w:tc>
        <w:tc>
          <w:tcPr>
            <w:tcBorders>
              <w:left w:color="000000" w:space="0" w:sz="4" w:val="single"/>
              <w:bottom w:color="000000" w:space="0" w:sz="4" w:val="single"/>
            </w:tcBorders>
          </w:tcPr>
          <w:p w:rsidR="00000000" w:rsidDel="00000000" w:rsidP="00000000" w:rsidRDefault="00000000" w:rsidRPr="00000000" w14:paraId="000000F0">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Valor Un</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F1">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Prazo garantia ou validade</w:t>
            </w:r>
            <w:r w:rsidDel="00000000" w:rsidR="00000000" w:rsidRPr="00000000">
              <w:rPr>
                <w:rtl w:val="0"/>
              </w:rPr>
            </w:r>
          </w:p>
        </w:tc>
      </w:tr>
      <w:tr>
        <w:trPr>
          <w:cantSplit w:val="0"/>
          <w:trHeight w:val="174" w:hRule="atLeast"/>
          <w:tblHeader w:val="0"/>
        </w:trPr>
        <w:tc>
          <w:tcPr>
            <w:tcBorders>
              <w:left w:color="000000" w:space="0" w:sz="4" w:val="single"/>
              <w:bottom w:color="000000" w:space="0" w:sz="4" w:val="single"/>
            </w:tcBorders>
          </w:tcPr>
          <w:p w:rsidR="00000000" w:rsidDel="00000000" w:rsidP="00000000" w:rsidRDefault="00000000" w:rsidRPr="00000000" w14:paraId="000000F2">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F3">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F4">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F5">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F6">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F7">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F8">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F9">
            <w:pPr>
              <w:widowControl w:val="0"/>
              <w:spacing w:line="360" w:lineRule="auto"/>
              <w:ind w:right="-30"/>
              <w:jc w:val="both"/>
              <w:rPr>
                <w:rFonts w:ascii="Arial" w:cs="Arial" w:eastAsia="Arial" w:hAnsi="Arial"/>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FA">
            <w:pPr>
              <w:widowControl w:val="0"/>
              <w:spacing w:line="360" w:lineRule="auto"/>
              <w:ind w:right="-30"/>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FB">
      <w:pPr>
        <w:rPr/>
      </w:pPr>
      <w:r w:rsidDel="00000000" w:rsidR="00000000" w:rsidRPr="00000000">
        <w:rPr>
          <w:rtl w:val="0"/>
        </w:rPr>
      </w:r>
    </w:p>
    <w:sectPr>
      <w:headerReference r:id="rId8" w:type="default"/>
      <w:footerReference r:id="rId9" w:type="default"/>
      <w:pgSz w:h="16838" w:w="11906" w:orient="portrait"/>
      <w:pgMar w:bottom="1134" w:top="1446"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2"/>
        <w:szCs w:val="12"/>
        <w:u w:val="none"/>
        <w:shd w:fill="auto" w:val="clear"/>
        <w:vertAlign w:val="baseline"/>
        <w:rtl w:val="0"/>
      </w:rPr>
      <w:t xml:space="preserve">____________________________________________________________________</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Câmara Nacional de Modelos de Licitações e Contratos da Consultoria-Geral da União</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Atualização: maio/2023</w:t>
    </w: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Ata de Registro de Preços –  Lei nº 14.133, de 2021.</w:t>
    </w:r>
    <w:r w:rsidDel="00000000" w:rsidR="00000000" w:rsidRPr="00000000">
      <w:rPr>
        <w:rtl w:val="0"/>
      </w:rPr>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Aprovado pela Secretaria de Gestão e Inovação.</w:t>
    </w:r>
    <w:r w:rsidDel="00000000" w:rsidR="00000000" w:rsidRPr="00000000">
      <w:rPr>
        <w:rtl w:val="0"/>
      </w:rPr>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Identidade visual pela Secretaria de Gestão e Inovação</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98559" cy="98559"/>
              <wp:effectExtent b="0" l="0" r="0" t="0"/>
              <wp:wrapNone/>
              <wp:docPr id="6" name=""/>
              <a:graphic>
                <a:graphicData uri="http://schemas.microsoft.com/office/word/2010/wordprocessingShape">
                  <wps:wsp>
                    <wps:cNvSpPr/>
                    <wps:cNvPr id="2" name="Shape 2"/>
                    <wps:spPr>
                      <a:xfrm rot="-2700000">
                        <a:off x="5322188" y="3770793"/>
                        <a:ext cx="47625" cy="18415"/>
                      </a:xfrm>
                      <a:prstGeom prst="rect">
                        <a:avLst/>
                      </a:prstGeom>
                      <a:solidFill>
                        <a:srgbClr val="C0C0C0"/>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
                              <w:vertAlign w:val="baseline"/>
                            </w:rPr>
                            <w:t xml:space="preserve">MINUTA</w:t>
                          </w:r>
                        </w:p>
                      </w:txbxContent>
                    </wps:txbx>
                    <wps:bodyPr anchorCtr="0" anchor="ctr" bIns="13950" lIns="0" spcFirstLastPara="1" rIns="0" wrap="square" tIns="14600">
                      <a:noAutofit/>
                    </wps:bodyPr>
                  </wps:wsp>
                </a:graphicData>
              </a:graphic>
            </wp:anchor>
          </w:drawing>
        </mc:Choice>
        <mc:Fallback>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98559" cy="98559"/>
              <wp:effectExtent b="0" l="0" r="0" t="0"/>
              <wp:wrapNone/>
              <wp:docPr id="6"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98559" cy="98559"/>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5538470</wp:posOffset>
          </wp:positionH>
          <wp:positionV relativeFrom="paragraph">
            <wp:posOffset>-208277</wp:posOffset>
          </wp:positionV>
          <wp:extent cx="728345" cy="678815"/>
          <wp:effectExtent b="0" l="0" r="0" t="0"/>
          <wp:wrapNone/>
          <wp:docPr id="7"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28345" cy="67881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0" w:firstLine="0"/>
      </w:pPr>
      <w:rPr>
        <w:b w:val="1"/>
        <w:i w:val="0"/>
      </w:rPr>
    </w:lvl>
    <w:lvl w:ilvl="1">
      <w:start w:val="2"/>
      <w:numFmt w:val="decimal"/>
      <w:lvlText w:val="%1.%2."/>
      <w:lvlJc w:val="left"/>
      <w:pPr>
        <w:ind w:left="284" w:firstLine="0"/>
      </w:pPr>
      <w:rPr>
        <w:rFonts w:ascii="Times New Roman" w:cs="Times New Roman" w:eastAsia="Times New Roman" w:hAnsi="Times New Roman"/>
        <w:b w:val="1"/>
        <w:i w:val="0"/>
        <w:sz w:val="24"/>
        <w:szCs w:val="24"/>
      </w:rPr>
    </w:lvl>
    <w:lvl w:ilvl="2">
      <w:start w:val="1"/>
      <w:numFmt w:val="decimal"/>
      <w:lvlText w:val="%1.%2.%3."/>
      <w:lvlJc w:val="left"/>
      <w:pPr>
        <w:ind w:left="567" w:firstLine="0"/>
      </w:pPr>
      <w:rPr>
        <w:rFonts w:ascii="Times New Roman" w:cs="Times New Roman" w:eastAsia="Times New Roman" w:hAnsi="Times New Roman"/>
        <w:b w:val="1"/>
        <w:i w:val="0"/>
        <w:sz w:val="24"/>
        <w:szCs w:val="24"/>
      </w:rPr>
    </w:lvl>
    <w:lvl w:ilvl="3">
      <w:start w:val="1"/>
      <w:numFmt w:val="decimal"/>
      <w:lvlText w:val="%1.%2.%3.%4."/>
      <w:lvlJc w:val="left"/>
      <w:pPr>
        <w:ind w:left="851" w:firstLine="0"/>
      </w:pPr>
      <w:rPr>
        <w:rFonts w:ascii="Times New Roman" w:cs="Times New Roman" w:eastAsia="Times New Roman" w:hAnsi="Times New Roman"/>
        <w:b w:val="1"/>
        <w:i w:val="0"/>
        <w:sz w:val="24"/>
        <w:szCs w:val="24"/>
      </w:rPr>
    </w:lvl>
    <w:lvl w:ilvl="4">
      <w:start w:val="1"/>
      <w:numFmt w:val="decimal"/>
      <w:lvlText w:val="%1.%2.%3.%4.%5."/>
      <w:lvlJc w:val="left"/>
      <w:pPr>
        <w:ind w:left="1134" w:firstLine="0"/>
      </w:pPr>
      <w:rPr>
        <w:b w:val="1"/>
        <w:i w:val="0"/>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0" w:firstLine="0"/>
      </w:pPr>
      <w:rPr>
        <w:b w:val="1"/>
        <w:i w:val="0"/>
      </w:rPr>
    </w:lvl>
    <w:lvl w:ilvl="1">
      <w:start w:val="1"/>
      <w:numFmt w:val="decimal"/>
      <w:lvlText w:val="%1.%2."/>
      <w:lvlJc w:val="left"/>
      <w:pPr>
        <w:ind w:left="284" w:firstLine="0"/>
      </w:pPr>
      <w:rPr>
        <w:rFonts w:ascii="Times New Roman" w:cs="Times New Roman" w:eastAsia="Times New Roman" w:hAnsi="Times New Roman"/>
        <w:b w:val="1"/>
        <w:i w:val="0"/>
      </w:rPr>
    </w:lvl>
    <w:lvl w:ilvl="2">
      <w:start w:val="1"/>
      <w:numFmt w:val="decimal"/>
      <w:lvlText w:val="%1.%2.%3."/>
      <w:lvlJc w:val="left"/>
      <w:pPr>
        <w:ind w:left="567" w:firstLine="0"/>
      </w:pPr>
      <w:rPr>
        <w:b w:val="1"/>
        <w:i w:val="0"/>
      </w:rPr>
    </w:lvl>
    <w:lvl w:ilvl="3">
      <w:start w:val="1"/>
      <w:numFmt w:val="decimal"/>
      <w:lvlText w:val="%1.%2.%3.%4."/>
      <w:lvlJc w:val="left"/>
      <w:pPr>
        <w:ind w:left="851" w:firstLine="0"/>
      </w:pPr>
      <w:rPr>
        <w:b w:val="1"/>
        <w:i w:val="0"/>
      </w:rPr>
    </w:lvl>
    <w:lvl w:ilvl="4">
      <w:start w:val="1"/>
      <w:numFmt w:val="decimal"/>
      <w:lvlText w:val="%1.%2.%3.%4.%5."/>
      <w:lvlJc w:val="left"/>
      <w:pPr>
        <w:ind w:left="1134" w:firstLine="0"/>
      </w:pPr>
      <w:rPr>
        <w:b w:val="1"/>
        <w:i w:val="0"/>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tabs>
        <w:tab w:val="left" w:leader="none" w:pos="0"/>
      </w:tabs>
      <w:spacing w:after="480" w:line="240" w:lineRule="auto"/>
      <w:ind w:left="864" w:hanging="864"/>
      <w:jc w:val="center"/>
    </w:pPr>
    <w:rPr>
      <w:rFonts w:ascii="Times New Roman" w:cs="Times New Roman" w:eastAsia="Times New Roman" w:hAnsi="Times New Roman"/>
      <w:b w:val="1"/>
      <w:sz w:val="24"/>
      <w:szCs w:val="24"/>
      <w:u w:val="single"/>
      <w:shd w:fill="b3b3b3" w:val="clear"/>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tabs>
        <w:tab w:val="left" w:leader="none" w:pos="0"/>
      </w:tabs>
      <w:spacing w:after="480" w:line="240" w:lineRule="auto"/>
      <w:ind w:left="864" w:hanging="864"/>
      <w:jc w:val="center"/>
    </w:pPr>
    <w:rPr>
      <w:rFonts w:ascii="Times New Roman" w:cs="Times New Roman" w:eastAsia="Times New Roman" w:hAnsi="Times New Roman"/>
      <w:b w:val="1"/>
      <w:sz w:val="24"/>
      <w:szCs w:val="24"/>
      <w:u w:val="single"/>
      <w:shd w:fill="b3b3b3" w:val="clear"/>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qFormat w:val="1"/>
    <w:pPr>
      <w:suppressAutoHyphens w:val="0"/>
      <w:spacing w:after="200" w:line="276" w:lineRule="auto"/>
    </w:pPr>
  </w:style>
  <w:style w:type="paragraph" w:styleId="Ttulo4">
    <w:name w:val="heading 4"/>
    <w:basedOn w:val="Normal"/>
    <w:next w:val="Normal"/>
    <w:link w:val="Ttulo4Char"/>
    <w:qFormat w:val="1"/>
    <w:rsid w:val="002211CE"/>
    <w:pPr>
      <w:keepNext w:val="1"/>
      <w:tabs>
        <w:tab w:val="left" w:pos="0"/>
      </w:tabs>
      <w:suppressAutoHyphens w:val="1"/>
      <w:spacing w:after="480" w:line="240" w:lineRule="auto"/>
      <w:ind w:left="864" w:hanging="864"/>
      <w:jc w:val="center"/>
      <w:outlineLvl w:val="3"/>
    </w:pPr>
    <w:rPr>
      <w:rFonts w:ascii="Times New Roman" w:cs="Times New Roman" w:eastAsia="Times New Roman" w:hAnsi="Times New Roman"/>
      <w:b w:val="1"/>
      <w:bCs w:val="1"/>
      <w:sz w:val="24"/>
      <w:szCs w:val="24"/>
      <w:u w:val="single"/>
      <w:shd w:color="auto" w:fill="b3b3b3" w:val="clear"/>
      <w:lang w:eastAsia="zh-CN" w:val="x-none"/>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extodebaloChar" w:customStyle="1">
    <w:name w:val="Texto de balão Char"/>
    <w:basedOn w:val="Fontepargpadro"/>
    <w:link w:val="Textodebalo"/>
    <w:uiPriority w:val="99"/>
    <w:semiHidden w:val="1"/>
    <w:qFormat w:val="1"/>
    <w:rsid w:val="00242474"/>
    <w:rPr>
      <w:rFonts w:ascii="Tahoma" w:cs="Tahoma" w:hAnsi="Tahoma"/>
      <w:sz w:val="16"/>
      <w:szCs w:val="16"/>
    </w:rPr>
  </w:style>
  <w:style w:type="character" w:styleId="Hyperlink1" w:customStyle="1">
    <w:name w:val="Hyperlink1"/>
    <w:basedOn w:val="Fontepargpadro"/>
    <w:uiPriority w:val="99"/>
    <w:unhideWhenUsed w:val="1"/>
    <w:rsid w:val="00242474"/>
    <w:rPr>
      <w:color w:val="0000ff" w:themeColor="hyperlink"/>
      <w:u w:val="single"/>
    </w:rPr>
  </w:style>
  <w:style w:type="character" w:styleId="CabealhoChar" w:customStyle="1">
    <w:name w:val="Cabeçalho Char"/>
    <w:basedOn w:val="Fontepargpadro"/>
    <w:link w:val="Cabealho"/>
    <w:qFormat w:val="1"/>
    <w:rsid w:val="00477FA5"/>
  </w:style>
  <w:style w:type="character" w:styleId="RodapChar" w:customStyle="1">
    <w:name w:val="Rodapé Char"/>
    <w:basedOn w:val="Fontepargpadro"/>
    <w:link w:val="Rodap"/>
    <w:uiPriority w:val="99"/>
    <w:qFormat w:val="1"/>
    <w:rsid w:val="00477FA5"/>
  </w:style>
  <w:style w:type="character" w:styleId="Ttulo4Char" w:customStyle="1">
    <w:name w:val="Título 4 Char"/>
    <w:basedOn w:val="Fontepargpadro"/>
    <w:link w:val="Ttulo4"/>
    <w:qFormat w:val="1"/>
    <w:rsid w:val="002211CE"/>
    <w:rPr>
      <w:rFonts w:ascii="Times New Roman" w:cs="Times New Roman" w:eastAsia="Times New Roman" w:hAnsi="Times New Roman"/>
      <w:b w:val="1"/>
      <w:bCs w:val="1"/>
      <w:sz w:val="24"/>
      <w:szCs w:val="24"/>
      <w:u w:val="single"/>
      <w:lang w:eastAsia="zh-CN" w:val="x-none"/>
    </w:rPr>
  </w:style>
  <w:style w:type="character" w:styleId="WW8Num2z0" w:customStyle="1">
    <w:name w:val="WW8Num2z0"/>
    <w:qFormat w:val="1"/>
    <w:rsid w:val="002211CE"/>
    <w:rPr>
      <w:b w:val="1"/>
      <w:i w:val="0"/>
    </w:rPr>
  </w:style>
  <w:style w:type="character" w:styleId="Absatz-Standardschriftart" w:customStyle="1">
    <w:name w:val="Absatz-Standardschriftart"/>
    <w:qFormat w:val="1"/>
    <w:rsid w:val="002211CE"/>
  </w:style>
  <w:style w:type="character" w:styleId="WW-Absatz-Standardschriftart" w:customStyle="1">
    <w:name w:val="WW-Absatz-Standardschriftart"/>
    <w:qFormat w:val="1"/>
    <w:rsid w:val="002211CE"/>
  </w:style>
  <w:style w:type="character" w:styleId="WW-Absatz-Standardschriftart1" w:customStyle="1">
    <w:name w:val="WW-Absatz-Standardschriftart1"/>
    <w:qFormat w:val="1"/>
    <w:rsid w:val="002211CE"/>
  </w:style>
  <w:style w:type="character" w:styleId="WW-Absatz-Standardschriftart11" w:customStyle="1">
    <w:name w:val="WW-Absatz-Standardschriftart11"/>
    <w:qFormat w:val="1"/>
    <w:rsid w:val="002211CE"/>
  </w:style>
  <w:style w:type="character" w:styleId="WW-Absatz-Standardschriftart111" w:customStyle="1">
    <w:name w:val="WW-Absatz-Standardschriftart111"/>
    <w:qFormat w:val="1"/>
    <w:rsid w:val="002211CE"/>
  </w:style>
  <w:style w:type="character" w:styleId="WW-Absatz-Standardschriftart1111" w:customStyle="1">
    <w:name w:val="WW-Absatz-Standardschriftart1111"/>
    <w:qFormat w:val="1"/>
    <w:rsid w:val="002211CE"/>
  </w:style>
  <w:style w:type="character" w:styleId="WW-Absatz-Standardschriftart11111" w:customStyle="1">
    <w:name w:val="WW-Absatz-Standardschriftart11111"/>
    <w:qFormat w:val="1"/>
    <w:rsid w:val="002211CE"/>
  </w:style>
  <w:style w:type="character" w:styleId="WW-Absatz-Standardschriftart111111" w:customStyle="1">
    <w:name w:val="WW-Absatz-Standardschriftart111111"/>
    <w:qFormat w:val="1"/>
    <w:rsid w:val="002211CE"/>
  </w:style>
  <w:style w:type="character" w:styleId="WW-Absatz-Standardschriftart1111111" w:customStyle="1">
    <w:name w:val="WW-Absatz-Standardschriftart1111111"/>
    <w:qFormat w:val="1"/>
    <w:rsid w:val="002211CE"/>
  </w:style>
  <w:style w:type="character" w:styleId="WW8Num4z0" w:customStyle="1">
    <w:name w:val="WW8Num4z0"/>
    <w:qFormat w:val="1"/>
    <w:rsid w:val="002211CE"/>
    <w:rPr>
      <w:b w:val="1"/>
      <w:i w:val="0"/>
    </w:rPr>
  </w:style>
  <w:style w:type="character" w:styleId="WW8Num6z0" w:customStyle="1">
    <w:name w:val="WW8Num6z0"/>
    <w:qFormat w:val="1"/>
    <w:rsid w:val="002211CE"/>
    <w:rPr>
      <w:b w:val="1"/>
      <w:i w:val="0"/>
    </w:rPr>
  </w:style>
  <w:style w:type="character" w:styleId="WW8Num6z1" w:customStyle="1">
    <w:name w:val="WW8Num6z1"/>
    <w:qFormat w:val="1"/>
    <w:rsid w:val="002211CE"/>
    <w:rPr>
      <w:b w:val="1"/>
      <w:i w:val="0"/>
      <w:color w:val="00000a"/>
    </w:rPr>
  </w:style>
  <w:style w:type="character" w:styleId="WW-Absatz-Standardschriftart11111111" w:customStyle="1">
    <w:name w:val="WW-Absatz-Standardschriftart11111111"/>
    <w:qFormat w:val="1"/>
    <w:rsid w:val="002211CE"/>
  </w:style>
  <w:style w:type="character" w:styleId="WW-Absatz-Standardschriftart111111111" w:customStyle="1">
    <w:name w:val="WW-Absatz-Standardschriftart111111111"/>
    <w:qFormat w:val="1"/>
    <w:rsid w:val="002211CE"/>
  </w:style>
  <w:style w:type="character" w:styleId="WW8Num2z1" w:customStyle="1">
    <w:name w:val="WW8Num2z1"/>
    <w:qFormat w:val="1"/>
    <w:rsid w:val="002211CE"/>
    <w:rPr>
      <w:b w:val="1"/>
      <w:i w:val="0"/>
      <w:color w:val="auto"/>
    </w:rPr>
  </w:style>
  <w:style w:type="character" w:styleId="WW8Num3z1" w:customStyle="1">
    <w:name w:val="WW8Num3z1"/>
    <w:qFormat w:val="1"/>
    <w:rsid w:val="002211CE"/>
    <w:rPr>
      <w:b w:val="0"/>
    </w:rPr>
  </w:style>
  <w:style w:type="character" w:styleId="WW8Num8z0" w:customStyle="1">
    <w:name w:val="WW8Num8z0"/>
    <w:qFormat w:val="1"/>
    <w:rsid w:val="002211CE"/>
    <w:rPr>
      <w:rFonts w:eastAsia="Arial Unicode MS"/>
      <w:i w:val="0"/>
    </w:rPr>
  </w:style>
  <w:style w:type="character" w:styleId="WW8Num10z0" w:customStyle="1">
    <w:name w:val="WW8Num10z0"/>
    <w:qFormat w:val="1"/>
    <w:rsid w:val="002211CE"/>
    <w:rPr>
      <w:b w:val="1"/>
      <w:i w:val="0"/>
    </w:rPr>
  </w:style>
  <w:style w:type="character" w:styleId="WW8Num16z0" w:customStyle="1">
    <w:name w:val="WW8Num16z0"/>
    <w:qFormat w:val="1"/>
    <w:rsid w:val="002211CE"/>
    <w:rPr>
      <w:b w:val="1"/>
      <w:i w:val="0"/>
    </w:rPr>
  </w:style>
  <w:style w:type="character" w:styleId="WW8Num19z0" w:customStyle="1">
    <w:name w:val="WW8Num19z0"/>
    <w:qFormat w:val="1"/>
    <w:rsid w:val="002211CE"/>
    <w:rPr>
      <w:b w:val="1"/>
      <w:i w:val="0"/>
    </w:rPr>
  </w:style>
  <w:style w:type="character" w:styleId="WW8Num20z0" w:customStyle="1">
    <w:name w:val="WW8Num20z0"/>
    <w:qFormat w:val="1"/>
    <w:rsid w:val="002211CE"/>
    <w:rPr>
      <w:b w:val="1"/>
      <w:i w:val="0"/>
    </w:rPr>
  </w:style>
  <w:style w:type="character" w:styleId="WW8Num21z0" w:customStyle="1">
    <w:name w:val="WW8Num21z0"/>
    <w:qFormat w:val="1"/>
    <w:rsid w:val="002211CE"/>
    <w:rPr>
      <w:b w:val="1"/>
      <w:i w:val="0"/>
    </w:rPr>
  </w:style>
  <w:style w:type="character" w:styleId="WW8Num21z3" w:customStyle="1">
    <w:name w:val="WW8Num21z3"/>
    <w:qFormat w:val="1"/>
    <w:rsid w:val="002211CE"/>
    <w:rPr>
      <w:b w:val="1"/>
      <w:i w:val="0"/>
      <w:color w:val="auto"/>
    </w:rPr>
  </w:style>
  <w:style w:type="character" w:styleId="WW8Num25z0" w:customStyle="1">
    <w:name w:val="WW8Num25z0"/>
    <w:qFormat w:val="1"/>
    <w:rsid w:val="002211CE"/>
    <w:rPr>
      <w:b w:val="1"/>
    </w:rPr>
  </w:style>
  <w:style w:type="character" w:styleId="Fontepargpadro1" w:customStyle="1">
    <w:name w:val="Fonte parág. padrão1"/>
    <w:qFormat w:val="1"/>
    <w:rsid w:val="002211CE"/>
  </w:style>
  <w:style w:type="character" w:styleId="TtuloChar" w:customStyle="1">
    <w:name w:val="Título Char"/>
    <w:qFormat w:val="1"/>
    <w:rsid w:val="002211CE"/>
    <w:rPr>
      <w:rFonts w:ascii="Times New Roman" w:cs="Times New Roman" w:eastAsia="Times New Roman" w:hAnsi="Times New Roman"/>
      <w:b w:val="1"/>
      <w:bCs w:val="1"/>
      <w:sz w:val="24"/>
      <w:szCs w:val="24"/>
      <w:u w:val="single"/>
    </w:rPr>
  </w:style>
  <w:style w:type="character" w:styleId="Nmerodepgina">
    <w:name w:val="page number"/>
    <w:basedOn w:val="Fontepargpadro1"/>
    <w:qFormat w:val="1"/>
    <w:rsid w:val="002211CE"/>
  </w:style>
  <w:style w:type="character" w:styleId="Smbolosdenumerao" w:customStyle="1">
    <w:name w:val="Símbolos de numeração"/>
    <w:qFormat w:val="1"/>
    <w:rsid w:val="002211CE"/>
  </w:style>
  <w:style w:type="character" w:styleId="Marcas" w:customStyle="1">
    <w:name w:val="Marcas"/>
    <w:qFormat w:val="1"/>
    <w:rsid w:val="002211CE"/>
    <w:rPr>
      <w:rFonts w:ascii="OpenSymbol" w:cs="OpenSymbol" w:eastAsia="OpenSymbol" w:hAnsi="OpenSymbol"/>
    </w:rPr>
  </w:style>
  <w:style w:type="character" w:styleId="CorpodetextoChar" w:customStyle="1">
    <w:name w:val="Corpo de texto Char"/>
    <w:basedOn w:val="Fontepargpadro"/>
    <w:link w:val="Corpodetexto"/>
    <w:qFormat w:val="1"/>
    <w:rsid w:val="002211CE"/>
    <w:rPr>
      <w:rFonts w:ascii="Times New Roman" w:cs="Times New Roman" w:eastAsia="Times New Roman" w:hAnsi="Times New Roman"/>
      <w:sz w:val="24"/>
      <w:szCs w:val="24"/>
      <w:lang w:eastAsia="zh-CN"/>
    </w:rPr>
  </w:style>
  <w:style w:type="character" w:styleId="Estilo11pt" w:customStyle="1">
    <w:name w:val="Estilo 11 pt"/>
    <w:qFormat w:val="1"/>
    <w:rPr>
      <w:rFonts w:ascii="Courier New" w:cs="Courier New" w:hAnsi="Courier New"/>
      <w:sz w:val="22"/>
    </w:rPr>
  </w:style>
  <w:style w:type="character" w:styleId="txtproduto" w:customStyle="1">
    <w:name w:val="txtproduto"/>
    <w:qFormat w:val="1"/>
  </w:style>
  <w:style w:type="character" w:styleId="Forte">
    <w:name w:val="Strong"/>
    <w:qFormat w:val="1"/>
    <w:rPr>
      <w:b w:val="1"/>
    </w:rPr>
  </w:style>
  <w:style w:type="character" w:styleId="Ttulo1Char" w:customStyle="1">
    <w:name w:val="Título 1 Char"/>
    <w:qFormat w:val="1"/>
    <w:rPr>
      <w:rFonts w:ascii="Cambria" w:eastAsia="0" w:hAnsi="Cambria"/>
      <w:b w:val="1"/>
      <w:bCs w:val="1"/>
      <w:color w:val="365f91"/>
      <w:sz w:val="28"/>
      <w:szCs w:val="28"/>
    </w:rPr>
  </w:style>
  <w:style w:type="character" w:styleId="RecuodecorpodetextoChar" w:customStyle="1">
    <w:name w:val="Recuo de corpo de texto Char"/>
    <w:qFormat w:val="1"/>
  </w:style>
  <w:style w:type="character" w:styleId="Ttulo8Char" w:customStyle="1">
    <w:name w:val="Título 8 Char"/>
    <w:qFormat w:val="1"/>
    <w:rPr>
      <w:rFonts w:ascii="Calibri" w:eastAsia="Times New Roman" w:hAnsi="Calibri"/>
      <w:i w:val="1"/>
      <w:iCs w:val="1"/>
    </w:rPr>
  </w:style>
  <w:style w:type="character" w:styleId="WW-Fontepargpadro" w:customStyle="1">
    <w:name w:val="WW-Fonte parág. padrão"/>
    <w:qFormat w:val="1"/>
    <w:rPr>
      <w:color w:val="000000"/>
    </w:rPr>
  </w:style>
  <w:style w:type="paragraph" w:styleId="Ttulo">
    <w:name w:val="Title"/>
    <w:basedOn w:val="Normal"/>
    <w:next w:val="Corpodetexto"/>
    <w:qFormat w:val="1"/>
    <w:pPr>
      <w:keepNext w:val="1"/>
      <w:spacing w:after="120" w:before="240"/>
    </w:pPr>
    <w:rPr>
      <w:rFonts w:ascii="Liberation Sans" w:cs="Arial" w:eastAsia="Microsoft YaHei" w:hAnsi="Liberation Sans"/>
      <w:sz w:val="28"/>
      <w:szCs w:val="28"/>
    </w:rPr>
  </w:style>
  <w:style w:type="paragraph" w:styleId="Corpodetexto">
    <w:name w:val="Body Text"/>
    <w:basedOn w:val="Normal"/>
    <w:link w:val="CorpodetextoChar"/>
    <w:rsid w:val="002211CE"/>
    <w:pPr>
      <w:suppressAutoHyphens w:val="1"/>
      <w:spacing w:after="120" w:line="240" w:lineRule="auto"/>
      <w:ind w:left="1985"/>
      <w:jc w:val="both"/>
    </w:pPr>
    <w:rPr>
      <w:rFonts w:ascii="Times New Roman" w:cs="Times New Roman" w:eastAsia="Times New Roman" w:hAnsi="Times New Roman"/>
      <w:sz w:val="24"/>
      <w:szCs w:val="24"/>
      <w:lang w:eastAsia="zh-CN"/>
    </w:rPr>
  </w:style>
  <w:style w:type="paragraph" w:styleId="Lista">
    <w:name w:val="List"/>
    <w:basedOn w:val="Corpodetexto"/>
    <w:rsid w:val="002211CE"/>
    <w:rPr>
      <w:rFonts w:cs="Lohit Hindi"/>
    </w:rPr>
  </w:style>
  <w:style w:type="paragraph" w:styleId="Legenda">
    <w:name w:val="caption"/>
    <w:basedOn w:val="Normal"/>
    <w:qFormat w:val="1"/>
    <w:rsid w:val="002211CE"/>
    <w:pPr>
      <w:suppressLineNumbers w:val="1"/>
      <w:suppressAutoHyphens w:val="1"/>
      <w:spacing w:after="120" w:before="120" w:line="240" w:lineRule="auto"/>
      <w:ind w:left="1985"/>
      <w:jc w:val="both"/>
    </w:pPr>
    <w:rPr>
      <w:rFonts w:ascii="Times New Roman" w:cs="Lohit Hindi" w:eastAsia="Times New Roman" w:hAnsi="Times New Roman"/>
      <w:i w:val="1"/>
      <w:iCs w:val="1"/>
      <w:sz w:val="24"/>
      <w:szCs w:val="24"/>
      <w:lang w:eastAsia="zh-CN"/>
    </w:rPr>
  </w:style>
  <w:style w:type="paragraph" w:styleId="ndice" w:customStyle="1">
    <w:name w:val="Índice"/>
    <w:basedOn w:val="Normal"/>
    <w:qFormat w:val="1"/>
    <w:rsid w:val="002211CE"/>
    <w:pPr>
      <w:suppressLineNumbers w:val="1"/>
      <w:suppressAutoHyphens w:val="1"/>
      <w:spacing w:after="480" w:line="240" w:lineRule="auto"/>
      <w:ind w:left="1985"/>
      <w:jc w:val="both"/>
    </w:pPr>
    <w:rPr>
      <w:rFonts w:ascii="Times New Roman" w:cs="Lohit Hindi" w:eastAsia="Times New Roman" w:hAnsi="Times New Roman"/>
      <w:sz w:val="24"/>
      <w:szCs w:val="24"/>
      <w:lang w:eastAsia="zh-CN"/>
    </w:rPr>
  </w:style>
  <w:style w:type="paragraph" w:styleId="Textodebalo">
    <w:name w:val="Balloon Text"/>
    <w:basedOn w:val="Normal"/>
    <w:link w:val="TextodebaloChar"/>
    <w:uiPriority w:val="99"/>
    <w:semiHidden w:val="1"/>
    <w:unhideWhenUsed w:val="1"/>
    <w:qFormat w:val="1"/>
    <w:rsid w:val="00242474"/>
    <w:pPr>
      <w:spacing w:after="0" w:line="240" w:lineRule="auto"/>
    </w:pPr>
    <w:rPr>
      <w:rFonts w:ascii="Tahoma" w:cs="Tahoma" w:hAnsi="Tahoma"/>
      <w:sz w:val="16"/>
      <w:szCs w:val="16"/>
    </w:rPr>
  </w:style>
  <w:style w:type="paragraph" w:styleId="PargrafodaLista">
    <w:name w:val="List Paragraph"/>
    <w:basedOn w:val="Normal"/>
    <w:uiPriority w:val="34"/>
    <w:qFormat w:val="1"/>
    <w:rsid w:val="00242474"/>
    <w:pPr>
      <w:ind w:left="720"/>
      <w:contextualSpacing w:val="1"/>
    </w:pPr>
  </w:style>
  <w:style w:type="paragraph" w:styleId="CabealhoeRodap" w:customStyle="1">
    <w:name w:val="Cabeçalho e Rodapé"/>
    <w:basedOn w:val="Normal"/>
    <w:qFormat w:val="1"/>
  </w:style>
  <w:style w:type="paragraph" w:styleId="Cabealho">
    <w:name w:val="header"/>
    <w:basedOn w:val="Normal"/>
    <w:link w:val="CabealhoChar"/>
    <w:unhideWhenUsed w:val="1"/>
    <w:rsid w:val="00477FA5"/>
    <w:pPr>
      <w:tabs>
        <w:tab w:val="center" w:pos="4252"/>
        <w:tab w:val="right" w:pos="8504"/>
      </w:tabs>
      <w:spacing w:after="0" w:line="240" w:lineRule="auto"/>
    </w:pPr>
  </w:style>
  <w:style w:type="paragraph" w:styleId="Rodap">
    <w:name w:val="footer"/>
    <w:basedOn w:val="Normal"/>
    <w:link w:val="RodapChar"/>
    <w:uiPriority w:val="99"/>
    <w:unhideWhenUsed w:val="1"/>
    <w:rsid w:val="00477FA5"/>
    <w:pPr>
      <w:tabs>
        <w:tab w:val="center" w:pos="4252"/>
        <w:tab w:val="right" w:pos="8504"/>
      </w:tabs>
      <w:spacing w:after="0" w:line="240" w:lineRule="auto"/>
    </w:pPr>
  </w:style>
  <w:style w:type="paragraph" w:styleId="Ttulo1" w:customStyle="1">
    <w:name w:val="Título1"/>
    <w:basedOn w:val="Normal"/>
    <w:next w:val="Corpodetexto"/>
    <w:qFormat w:val="1"/>
    <w:rsid w:val="002211CE"/>
    <w:pPr>
      <w:suppressAutoHyphens w:val="1"/>
      <w:spacing w:after="360" w:line="240" w:lineRule="auto"/>
      <w:ind w:left="1985"/>
      <w:jc w:val="center"/>
    </w:pPr>
    <w:rPr>
      <w:rFonts w:ascii="Times New Roman" w:cs="Times New Roman" w:eastAsia="Times New Roman" w:hAnsi="Times New Roman"/>
      <w:b w:val="1"/>
      <w:bCs w:val="1"/>
      <w:sz w:val="24"/>
      <w:szCs w:val="24"/>
      <w:u w:val="single"/>
      <w:shd w:color="auto" w:fill="b3b3b3" w:val="clear"/>
      <w:lang w:eastAsia="zh-CN" w:val="x-none"/>
    </w:rPr>
  </w:style>
  <w:style w:type="paragraph" w:styleId="Saudao1" w:customStyle="1">
    <w:name w:val="Saudação1"/>
    <w:basedOn w:val="Normal"/>
    <w:qFormat w:val="1"/>
    <w:rsid w:val="002211CE"/>
    <w:pPr>
      <w:widowControl w:val="0"/>
      <w:suppressAutoHyphens w:val="1"/>
      <w:spacing w:after="0" w:line="240" w:lineRule="auto"/>
      <w:jc w:val="both"/>
    </w:pPr>
    <w:rPr>
      <w:rFonts w:ascii="Arial" w:cs="Arial" w:eastAsia="Arial Unicode MS" w:hAnsi="Arial"/>
      <w:sz w:val="24"/>
      <w:szCs w:val="20"/>
      <w:lang w:eastAsia="zh-CN"/>
    </w:rPr>
  </w:style>
  <w:style w:type="paragraph" w:styleId="NormalWeb">
    <w:name w:val="Normal (Web)"/>
    <w:basedOn w:val="Normal"/>
    <w:qFormat w:val="1"/>
    <w:rsid w:val="002211CE"/>
    <w:pPr>
      <w:suppressAutoHyphens w:val="1"/>
      <w:spacing w:after="280" w:before="280" w:line="240" w:lineRule="auto"/>
    </w:pPr>
    <w:rPr>
      <w:rFonts w:ascii="Times New Roman" w:cs="Times New Roman" w:eastAsia="Times New Roman" w:hAnsi="Times New Roman"/>
      <w:sz w:val="24"/>
      <w:szCs w:val="24"/>
      <w:lang w:eastAsia="zh-CN"/>
    </w:rPr>
  </w:style>
  <w:style w:type="paragraph" w:styleId="Contedodatabela" w:customStyle="1">
    <w:name w:val="Conteúdo da tabela"/>
    <w:basedOn w:val="Normal"/>
    <w:qFormat w:val="1"/>
    <w:rsid w:val="002211CE"/>
    <w:pPr>
      <w:suppressLineNumbers w:val="1"/>
      <w:suppressAutoHyphens w:val="1"/>
      <w:spacing w:after="480" w:line="240" w:lineRule="auto"/>
      <w:ind w:left="1985"/>
      <w:jc w:val="both"/>
    </w:pPr>
    <w:rPr>
      <w:rFonts w:ascii="Times New Roman" w:cs="Times New Roman" w:eastAsia="Times New Roman" w:hAnsi="Times New Roman"/>
      <w:sz w:val="24"/>
      <w:szCs w:val="24"/>
      <w:lang w:eastAsia="zh-CN"/>
    </w:rPr>
  </w:style>
  <w:style w:type="paragraph" w:styleId="Ttulodetabela" w:customStyle="1">
    <w:name w:val="Título de tabela"/>
    <w:basedOn w:val="Contedodatabela"/>
    <w:qFormat w:val="1"/>
    <w:rsid w:val="002211CE"/>
    <w:pPr>
      <w:jc w:val="center"/>
    </w:pPr>
    <w:rPr>
      <w:b w:val="1"/>
      <w:bCs w:val="1"/>
    </w:rPr>
  </w:style>
  <w:style w:type="paragraph" w:styleId="PargrafodaLista1" w:customStyle="1">
    <w:name w:val="Parágrafo da Lista1"/>
    <w:basedOn w:val="Normal"/>
    <w:qFormat w:val="1"/>
    <w:rsid w:val="002211CE"/>
    <w:pPr>
      <w:suppressAutoHyphens w:val="1"/>
      <w:spacing w:after="480" w:line="240" w:lineRule="auto"/>
      <w:ind w:left="720"/>
      <w:jc w:val="both"/>
    </w:pPr>
    <w:rPr>
      <w:rFonts w:ascii="Times New Roman" w:cs="Times New Roman" w:eastAsia="Times New Roman" w:hAnsi="Times New Roman"/>
      <w:sz w:val="24"/>
      <w:szCs w:val="24"/>
      <w:lang w:eastAsia="zh-CN"/>
    </w:rPr>
  </w:style>
  <w:style w:type="paragraph" w:styleId="ecxmsonormal" w:customStyle="1">
    <w:name w:val="ecxmsonormal"/>
    <w:basedOn w:val="Normal"/>
    <w:qFormat w:val="1"/>
    <w:rsid w:val="002211CE"/>
    <w:pPr>
      <w:suppressAutoHyphens w:val="1"/>
      <w:spacing w:after="28" w:before="28" w:line="100" w:lineRule="atLeast"/>
      <w:ind w:left="1985"/>
      <w:jc w:val="both"/>
    </w:pPr>
    <w:rPr>
      <w:rFonts w:ascii="Times New Roman" w:cs="Times New Roman" w:eastAsia="Times New Roman" w:hAnsi="Times New Roman"/>
      <w:sz w:val="24"/>
      <w:szCs w:val="24"/>
      <w:lang w:eastAsia="pt-BR"/>
    </w:rPr>
  </w:style>
  <w:style w:type="paragraph" w:styleId="WW-Padro" w:customStyle="1">
    <w:name w:val="WW-Padrão"/>
    <w:qFormat w:val="1"/>
    <w:rsid w:val="000928AA"/>
    <w:pPr>
      <w:widowControl w:val="0"/>
    </w:pPr>
    <w:rPr>
      <w:rFonts w:ascii="Times New Roman" w:cs="Times New Roman" w:eastAsia="Arial" w:hAnsi="Times New Roman"/>
      <w:sz w:val="20"/>
      <w:szCs w:val="24"/>
      <w:lang w:eastAsia="zh-CN"/>
    </w:rPr>
  </w:style>
  <w:style w:type="paragraph" w:styleId="Contedodoquadro" w:customStyle="1">
    <w:name w:val="Conteúdo do quadro"/>
    <w:basedOn w:val="Normal"/>
    <w:qFormat w:val="1"/>
  </w:style>
  <w:style w:type="paragraph" w:styleId="Normal1" w:customStyle="1">
    <w:name w:val="Normal1"/>
    <w:qFormat w:val="1"/>
    <w:pPr>
      <w:spacing w:line="100" w:lineRule="atLeast"/>
    </w:pPr>
    <w:rPr>
      <w:rFonts w:ascii="Times New Roman" w:cs="Courier New" w:eastAsia="Times New Roman" w:hAnsi="Times New Roman"/>
      <w:color w:val="00000a"/>
      <w:sz w:val="20"/>
      <w:szCs w:val="20"/>
      <w:lang w:eastAsia="ar-SA"/>
    </w:rPr>
  </w:style>
  <w:style w:type="paragraph" w:styleId="TitleandContentLTGliederung1" w:customStyle="1">
    <w:name w:val="Title and Content~LT~Gliederung 1"/>
    <w:qFormat w:val="1"/>
    <w:pPr>
      <w:widowControl w:val="0"/>
      <w:spacing w:after="283" w:line="200" w:lineRule="atLeast"/>
    </w:pPr>
    <w:rPr>
      <w:rFonts w:ascii="Lohit Hindi" w:cs="Courier New" w:eastAsia="Lohit Hindi" w:hAnsi="Lohit Hindi"/>
      <w:color w:val="2f2b20"/>
      <w:sz w:val="44"/>
      <w:szCs w:val="44"/>
      <w:lang w:eastAsia="hi-IN"/>
    </w:rPr>
  </w:style>
  <w:style w:type="paragraph" w:styleId="western" w:customStyle="1">
    <w:name w:val="western"/>
    <w:basedOn w:val="Normal"/>
    <w:qFormat w:val="1"/>
    <w:pPr>
      <w:spacing w:after="119" w:before="100"/>
    </w:pPr>
    <w:rPr>
      <w:lang w:eastAsia="zh-CN"/>
    </w:rPr>
  </w:style>
  <w:style w:type="paragraph" w:styleId="Corpodetexto2">
    <w:name w:val="Body Text 2"/>
    <w:basedOn w:val="Normal"/>
    <w:qFormat w:val="1"/>
  </w:style>
  <w:style w:type="paragraph" w:styleId="TtuloPrincipal" w:customStyle="1">
    <w:name w:val="Título Principal"/>
    <w:qFormat w:val="1"/>
    <w:pPr>
      <w:keepNext w:val="1"/>
      <w:widowControl w:val="0"/>
      <w:spacing w:after="120" w:before="240"/>
    </w:pPr>
    <w:rPr>
      <w:rFonts w:ascii="Calibri" w:eastAsia="Times New Roman" w:hAnsi="Calibri"/>
      <w:color w:val="000000"/>
      <w:sz w:val="28"/>
      <w:szCs w:val="28"/>
      <w:lang w:eastAsia="ar-SA"/>
    </w:rPr>
  </w:style>
  <w:style w:type="paragraph" w:styleId="Padro" w:customStyle="1">
    <w:name w:val="Padrão"/>
    <w:qFormat w:val="1"/>
    <w:pPr>
      <w:widowControl w:val="0"/>
      <w:jc w:val="both"/>
    </w:pPr>
    <w:rPr>
      <w:rFonts w:ascii="Times New Roman" w:cs="Courier New" w:eastAsia="Times New Roman" w:hAnsi="Times New Roman"/>
      <w:color w:val="00000a"/>
      <w:sz w:val="20"/>
      <w:szCs w:val="24"/>
      <w:lang w:eastAsia="ar-SA"/>
    </w:rPr>
  </w:style>
  <w:style w:type="paragraph" w:styleId="SubTitNN" w:customStyle="1">
    <w:name w:val="SubTitNN"/>
    <w:basedOn w:val="Normal"/>
    <w:qFormat w:val="1"/>
    <w:pPr>
      <w:spacing w:after="120" w:before="240"/>
      <w:jc w:val="both"/>
    </w:pPr>
    <w:rPr>
      <w:rFonts w:ascii="Arial" w:cs="Arial" w:hAnsi="Arial"/>
      <w:b w:val="1"/>
      <w:bCs w:val="1"/>
      <w:iCs w:val="1"/>
      <w:sz w:val="20"/>
      <w:szCs w:val="20"/>
    </w:rPr>
  </w:style>
  <w:style w:type="paragraph" w:styleId="Nvel3-R" w:customStyle="1">
    <w:name w:val="Nível 3-R"/>
    <w:basedOn w:val="Normal"/>
    <w:qFormat w:val="1"/>
    <w:pPr>
      <w:numPr>
        <w:ilvl w:val="2"/>
        <w:numId w:val="1"/>
      </w:numPr>
      <w:spacing w:after="120" w:before="120"/>
      <w:ind w:left="284"/>
      <w:jc w:val="both"/>
    </w:pPr>
    <w:rPr>
      <w:rFonts w:ascii="Arial" w:cs="Arial" w:hAnsi="Arial" w:eastAsiaTheme="minorEastAsia"/>
      <w:i w:val="1"/>
      <w:iCs w:val="1"/>
      <w:color w:val="ff0000"/>
      <w:sz w:val="20"/>
      <w:szCs w:val="20"/>
    </w:rPr>
  </w:style>
  <w:style w:type="paragraph" w:styleId="Nvel3" w:customStyle="1">
    <w:name w:val="Nível 3"/>
    <w:basedOn w:val="Nvel3-R"/>
    <w:qFormat w:val="1"/>
    <w:rPr>
      <w:rFonts w:eastAsia="Times New Roman"/>
      <w:i w:val="0"/>
      <w:iCs w:val="0"/>
      <w:color w:val="auto"/>
    </w:rPr>
  </w:style>
  <w:style w:type="paragraph" w:styleId="Nvel4" w:customStyle="1">
    <w:name w:val="Nível 4"/>
    <w:basedOn w:val="Nvel3"/>
    <w:qFormat w:val="1"/>
    <w:pPr>
      <w:ind w:left="567"/>
    </w:pPr>
  </w:style>
  <w:style w:type="table" w:styleId="Tabelacomgrade">
    <w:name w:val="Table Grid"/>
    <w:basedOn w:val="Tabelanormal"/>
    <w:uiPriority w:val="59"/>
    <w:rsid w:val="00674D98"/>
    <w:rPr>
      <w:rFonts w:eastAsiaTheme="minorEastAsia"/>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EKSJf1+eKfIoeO3HUVqELToKAA==">CgMxLjAyCGguZ2pkZ3hzMgppZC4zMGowemxsMgppZC4xZm9iOXRlMgppZC4zem55c2g3MgppZC4yZXQ5MnAwMglpZC50eWpjd3QyCmlkLjNkeTZ2a20yCmlkLjF0M2g1c2YyCmlkLjRkMzRvZzg4AHIhMVlVeEE2ZWFDLWk5S09kd2N0M0dRVEJyWk10dF9LRVNK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2024-07-02T17:19:00Z</dcterms:created>
  <dc:creator>Marcondes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